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C7" w:rsidRPr="004A3F00" w:rsidRDefault="00403943" w:rsidP="00842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Times-Roman"/>
          <w:b/>
          <w:color w:val="141413"/>
          <w:lang w:val="en-US" w:bidi="en-US"/>
        </w:rPr>
      </w:pPr>
      <w:r w:rsidRPr="004A3F00">
        <w:rPr>
          <w:rFonts w:eastAsia="Times New Roman" w:cs="Times-Roman"/>
          <w:b/>
          <w:color w:val="141413"/>
          <w:lang w:val="en-US" w:bidi="en-US"/>
        </w:rPr>
        <w:t xml:space="preserve">SDC Results </w:t>
      </w:r>
      <w:r w:rsidR="00D563A6" w:rsidRPr="004A3F00">
        <w:rPr>
          <w:rFonts w:eastAsia="Times New Roman" w:cs="Times-Roman"/>
          <w:b/>
          <w:color w:val="141413"/>
          <w:lang w:val="en-US" w:bidi="en-US"/>
        </w:rPr>
        <w:t>Reporting Template</w:t>
      </w:r>
      <w:r w:rsidR="000449C9">
        <w:rPr>
          <w:rFonts w:eastAsia="Times New Roman" w:cs="Times-Roman"/>
          <w:b/>
          <w:color w:val="141413"/>
          <w:lang w:val="en-US" w:bidi="en-US"/>
        </w:rPr>
        <w:t xml:space="preserve"> (201</w:t>
      </w:r>
      <w:r w:rsidR="00BD5389">
        <w:rPr>
          <w:rFonts w:eastAsia="Times New Roman" w:cs="Times-Roman"/>
          <w:b/>
          <w:color w:val="141413"/>
          <w:lang w:val="en-US" w:bidi="en-US"/>
        </w:rPr>
        <w:t>8</w:t>
      </w:r>
      <w:r w:rsidR="000449C9">
        <w:rPr>
          <w:rFonts w:eastAsia="Times New Roman" w:cs="Times-Roman"/>
          <w:b/>
          <w:color w:val="141413"/>
          <w:lang w:val="en-US" w:bidi="en-US"/>
        </w:rPr>
        <w:t>)</w:t>
      </w:r>
    </w:p>
    <w:tbl>
      <w:tblPr>
        <w:tblpPr w:leftFromText="180" w:rightFromText="180" w:vertAnchor="page" w:horzAnchor="margin" w:tblpX="72" w:tblpY="13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615"/>
        <w:gridCol w:w="1800"/>
        <w:gridCol w:w="3330"/>
        <w:gridCol w:w="1350"/>
      </w:tblGrid>
      <w:tr w:rsidR="00296A2B" w:rsidRPr="00A9499C" w:rsidTr="00D33512">
        <w:trPr>
          <w:trHeight w:val="270"/>
        </w:trPr>
        <w:tc>
          <w:tcPr>
            <w:tcW w:w="10345" w:type="dxa"/>
            <w:gridSpan w:val="5"/>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 xml:space="preserve">Project Title: </w:t>
            </w:r>
            <w:r w:rsidR="00C06472" w:rsidRPr="00C06472">
              <w:rPr>
                <w:rFonts w:eastAsia="Times New Roman"/>
                <w:b/>
                <w:sz w:val="20"/>
                <w:szCs w:val="20"/>
                <w:lang w:val="en-US" w:eastAsia="ar-SA"/>
              </w:rPr>
              <w:t xml:space="preserve"> </w:t>
            </w:r>
            <w:r w:rsidR="00CF4760">
              <w:rPr>
                <w:rFonts w:eastAsia="Times New Roman"/>
                <w:b/>
                <w:sz w:val="20"/>
                <w:szCs w:val="20"/>
                <w:lang w:val="en-US" w:eastAsia="ar-SA"/>
              </w:rPr>
              <w:t>Development of Minamata Initial Assessment for Ghana</w:t>
            </w:r>
            <w:r w:rsidR="00C06472" w:rsidRPr="00C06472">
              <w:rPr>
                <w:rFonts w:eastAsia="Times New Roman"/>
                <w:lang w:val="en-US"/>
              </w:rPr>
              <w:t xml:space="preserve"> </w:t>
            </w:r>
            <w:r w:rsidR="003B731E" w:rsidRPr="003B731E">
              <w:rPr>
                <w:rFonts w:eastAsia="Times New Roman"/>
                <w:b/>
                <w:sz w:val="20"/>
                <w:szCs w:val="20"/>
                <w:lang w:val="en-US" w:eastAsia="ar-SA"/>
              </w:rPr>
              <w:t xml:space="preserve"> </w:t>
            </w:r>
          </w:p>
        </w:tc>
      </w:tr>
      <w:tr w:rsidR="00296A2B" w:rsidRPr="00A9499C" w:rsidTr="00D33512">
        <w:trPr>
          <w:trHeight w:val="210"/>
        </w:trPr>
        <w:tc>
          <w:tcPr>
            <w:tcW w:w="5665" w:type="dxa"/>
            <w:gridSpan w:val="3"/>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Name of IP:</w:t>
            </w:r>
            <w:r w:rsidR="00B45BCC">
              <w:rPr>
                <w:rFonts w:eastAsia="Times New Roman" w:cs="Times-Roman"/>
                <w:b/>
                <w:color w:val="141413"/>
                <w:sz w:val="20"/>
                <w:szCs w:val="20"/>
                <w:lang w:val="en-US" w:bidi="en-US"/>
              </w:rPr>
              <w:t xml:space="preserve">     </w:t>
            </w:r>
            <w:r w:rsidR="00CF4760">
              <w:rPr>
                <w:rFonts w:eastAsia="Times New Roman" w:cs="Times-Roman"/>
                <w:b/>
                <w:color w:val="141413"/>
                <w:sz w:val="20"/>
                <w:szCs w:val="20"/>
                <w:lang w:val="en-US" w:bidi="en-US"/>
              </w:rPr>
              <w:t>Environmental Protection Agency</w:t>
            </w:r>
            <w:r w:rsidR="00B45BCC">
              <w:rPr>
                <w:rFonts w:eastAsia="Times New Roman" w:cs="Times-Roman"/>
                <w:b/>
                <w:color w:val="141413"/>
                <w:sz w:val="20"/>
                <w:szCs w:val="20"/>
                <w:lang w:val="en-US" w:bidi="en-US"/>
              </w:rPr>
              <w:t xml:space="preserve"> </w:t>
            </w:r>
          </w:p>
        </w:tc>
        <w:tc>
          <w:tcPr>
            <w:tcW w:w="4680" w:type="dxa"/>
            <w:gridSpan w:val="2"/>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D</w:t>
            </w:r>
            <w:r>
              <w:rPr>
                <w:rFonts w:eastAsia="Times New Roman" w:cs="Times-Roman"/>
                <w:b/>
                <w:color w:val="141413"/>
                <w:sz w:val="20"/>
                <w:szCs w:val="20"/>
                <w:lang w:val="en-US" w:bidi="en-US"/>
              </w:rPr>
              <w:t>ate</w:t>
            </w:r>
            <w:r w:rsidRPr="00574ADA">
              <w:rPr>
                <w:rFonts w:eastAsia="Times New Roman" w:cs="Times-Roman"/>
                <w:b/>
                <w:color w:val="141413"/>
                <w:sz w:val="20"/>
                <w:szCs w:val="20"/>
                <w:lang w:val="en-US" w:bidi="en-US"/>
              </w:rPr>
              <w:t>:</w:t>
            </w:r>
            <w:r w:rsidR="009E0D78" w:rsidRPr="009E0D78">
              <w:rPr>
                <w:rFonts w:eastAsia="Times New Roman" w:cs="Times-Roman"/>
                <w:b/>
                <w:color w:val="141413"/>
                <w:sz w:val="20"/>
                <w:szCs w:val="20"/>
                <w:lang w:val="en-US" w:bidi="en-US"/>
              </w:rPr>
              <w:t>1</w:t>
            </w:r>
            <w:r w:rsidR="009E0D78" w:rsidRPr="009E0D78">
              <w:rPr>
                <w:rFonts w:eastAsia="Times New Roman" w:cs="Times-Roman"/>
                <w:b/>
                <w:color w:val="141413"/>
                <w:sz w:val="20"/>
                <w:szCs w:val="20"/>
                <w:vertAlign w:val="superscript"/>
                <w:lang w:val="en-US" w:bidi="en-US"/>
              </w:rPr>
              <w:t>st</w:t>
            </w:r>
            <w:r w:rsidR="009E0D78" w:rsidRPr="009E0D78">
              <w:rPr>
                <w:rFonts w:eastAsia="Times New Roman" w:cs="Times-Roman"/>
                <w:b/>
                <w:color w:val="141413"/>
                <w:sz w:val="20"/>
                <w:szCs w:val="20"/>
                <w:lang w:val="en-US" w:bidi="en-US"/>
              </w:rPr>
              <w:t xml:space="preserve"> January – </w:t>
            </w:r>
            <w:r w:rsidR="00A63F14" w:rsidRPr="00A63F14">
              <w:rPr>
                <w:rFonts w:eastAsia="Times New Roman" w:cs="Times-Roman"/>
                <w:b/>
                <w:color w:val="141413"/>
                <w:sz w:val="20"/>
                <w:szCs w:val="20"/>
                <w:lang w:val="en-US" w:bidi="en-US"/>
              </w:rPr>
              <w:t>30</w:t>
            </w:r>
            <w:r w:rsidR="00A63F14" w:rsidRPr="00A63F14">
              <w:rPr>
                <w:rFonts w:eastAsia="Times New Roman" w:cs="Times-Roman"/>
                <w:b/>
                <w:color w:val="141413"/>
                <w:sz w:val="20"/>
                <w:szCs w:val="20"/>
                <w:vertAlign w:val="superscript"/>
                <w:lang w:val="en-US" w:bidi="en-US"/>
              </w:rPr>
              <w:t>th</w:t>
            </w:r>
            <w:r w:rsidR="00D7697F">
              <w:rPr>
                <w:rFonts w:eastAsia="Times New Roman" w:cs="Times-Roman"/>
                <w:b/>
                <w:color w:val="141413"/>
                <w:sz w:val="20"/>
                <w:szCs w:val="20"/>
                <w:lang w:val="en-US" w:bidi="en-US"/>
              </w:rPr>
              <w:t xml:space="preserve"> December</w:t>
            </w:r>
            <w:r w:rsidR="005F29CB">
              <w:rPr>
                <w:rFonts w:eastAsia="Times New Roman" w:cs="Times-Roman"/>
                <w:b/>
                <w:color w:val="141413"/>
                <w:sz w:val="20"/>
                <w:szCs w:val="20"/>
                <w:lang w:val="en-US" w:bidi="en-US"/>
              </w:rPr>
              <w:t xml:space="preserve"> 201</w:t>
            </w:r>
            <w:r w:rsidR="00BD5389">
              <w:rPr>
                <w:rFonts w:eastAsia="Times New Roman" w:cs="Times-Roman"/>
                <w:b/>
                <w:color w:val="141413"/>
                <w:sz w:val="20"/>
                <w:szCs w:val="20"/>
                <w:lang w:val="en-US" w:bidi="en-US"/>
              </w:rPr>
              <w:t>8</w:t>
            </w:r>
          </w:p>
        </w:tc>
      </w:tr>
      <w:tr w:rsidR="00296A2B" w:rsidRPr="00A9499C" w:rsidTr="00D33512">
        <w:trPr>
          <w:trHeight w:val="263"/>
        </w:trPr>
        <w:tc>
          <w:tcPr>
            <w:tcW w:w="10345" w:type="dxa"/>
            <w:gridSpan w:val="5"/>
            <w:shd w:val="clear" w:color="auto" w:fill="D9D9D9" w:themeFill="background1" w:themeFillShade="D9"/>
          </w:tcPr>
          <w:p w:rsidR="00296A2B" w:rsidRPr="00040826" w:rsidRDefault="001007B7"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b/>
                <w:color w:val="141413"/>
                <w:sz w:val="20"/>
                <w:szCs w:val="20"/>
                <w:lang w:val="en-US" w:bidi="en-US"/>
              </w:rPr>
            </w:pPr>
            <w:r>
              <w:rPr>
                <w:rFonts w:eastAsia="Times New Roman" w:cs="Times-Roman"/>
                <w:b/>
                <w:color w:val="003D80"/>
                <w:sz w:val="20"/>
                <w:szCs w:val="20"/>
                <w:lang w:val="en-US" w:eastAsia="en-CA" w:bidi="en-US"/>
              </w:rPr>
              <w:t>RESULTS</w:t>
            </w:r>
            <w:r w:rsidR="00040826" w:rsidRPr="00040826">
              <w:rPr>
                <w:rFonts w:eastAsia="Times New Roman" w:cs="Times-Roman"/>
                <w:b/>
                <w:color w:val="003D80"/>
                <w:sz w:val="20"/>
                <w:szCs w:val="20"/>
                <w:lang w:val="en-US" w:eastAsia="en-CA" w:bidi="en-US"/>
              </w:rPr>
              <w:t xml:space="preserve"> PERFORMANCE/ACHIEVEMENTS</w:t>
            </w:r>
            <w:r w:rsidR="00040826" w:rsidRPr="00040826">
              <w:rPr>
                <w:rFonts w:eastAsia="Times New Roman" w:cs="Times-Roman"/>
                <w:b/>
                <w:color w:val="141413"/>
                <w:sz w:val="20"/>
                <w:szCs w:val="20"/>
                <w:lang w:val="en-US" w:bidi="en-US"/>
              </w:rPr>
              <w:t xml:space="preserve"> </w:t>
            </w:r>
          </w:p>
        </w:tc>
      </w:tr>
      <w:tr w:rsidR="00296A2B" w:rsidRPr="00A9499C" w:rsidTr="00184BD1">
        <w:tc>
          <w:tcPr>
            <w:tcW w:w="2250"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 xml:space="preserve">Project Results </w:t>
            </w:r>
            <w:r w:rsidR="00A610E2" w:rsidRPr="00A9499C">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sidRPr="00A9499C">
              <w:rPr>
                <w:rFonts w:eastAsia="Times New Roman" w:cs="Helvetica"/>
                <w:i/>
                <w:color w:val="141413"/>
                <w:sz w:val="18"/>
                <w:szCs w:val="14"/>
                <w:lang w:val="en-US" w:eastAsia="en-CA" w:bidi="en-US"/>
              </w:rPr>
              <w:t xml:space="preserve">State project </w:t>
            </w:r>
            <w:r>
              <w:rPr>
                <w:rFonts w:eastAsia="Times New Roman" w:cs="Helvetica"/>
                <w:i/>
                <w:color w:val="141413"/>
                <w:sz w:val="18"/>
                <w:szCs w:val="14"/>
                <w:lang w:val="en-US" w:eastAsia="en-CA" w:bidi="en-US"/>
              </w:rPr>
              <w:t>results (</w:t>
            </w:r>
            <w:r w:rsidRPr="00A9499C">
              <w:rPr>
                <w:rFonts w:eastAsia="Times New Roman" w:cs="Helvetica"/>
                <w:i/>
                <w:color w:val="141413"/>
                <w:sz w:val="18"/>
                <w:szCs w:val="14"/>
                <w:lang w:val="en-US" w:eastAsia="en-CA" w:bidi="en-US"/>
              </w:rPr>
              <w:t>outcomes</w:t>
            </w:r>
            <w:r>
              <w:rPr>
                <w:rFonts w:eastAsia="Times New Roman" w:cs="Helvetica"/>
                <w:i/>
                <w:color w:val="141413"/>
                <w:sz w:val="18"/>
                <w:szCs w:val="14"/>
                <w:lang w:val="en-US" w:eastAsia="en-CA" w:bidi="en-US"/>
              </w:rPr>
              <w:t xml:space="preserve"> of Output</w:t>
            </w:r>
            <w:r w:rsidRPr="00A9499C">
              <w:rPr>
                <w:rFonts w:eastAsia="Times New Roman" w:cs="Helvetica"/>
                <w:i/>
                <w:color w:val="141413"/>
                <w:sz w:val="18"/>
                <w:szCs w:val="14"/>
                <w:lang w:val="en-US" w:eastAsia="en-CA" w:bidi="en-US"/>
              </w:rPr>
              <w:t xml:space="preserve"> from appro</w:t>
            </w:r>
            <w:r>
              <w:rPr>
                <w:rFonts w:eastAsia="Times New Roman" w:cs="Helvetica"/>
                <w:i/>
                <w:color w:val="141413"/>
                <w:sz w:val="18"/>
                <w:szCs w:val="14"/>
                <w:lang w:val="en-US" w:eastAsia="en-CA" w:bidi="en-US"/>
              </w:rPr>
              <w:t>ved project document or work plan</w:t>
            </w:r>
          </w:p>
        </w:tc>
        <w:tc>
          <w:tcPr>
            <w:tcW w:w="1615"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Indicators</w:t>
            </w:r>
            <w:r w:rsidR="00A610E2">
              <w:rPr>
                <w:rFonts w:eastAsia="Times New Roman" w:cs="Helvetica"/>
                <w:i/>
                <w:color w:val="141413"/>
                <w:sz w:val="18"/>
                <w:szCs w:val="14"/>
                <w:lang w:val="en-US" w:eastAsia="en-CA" w:bidi="en-US"/>
              </w:rPr>
              <w:t xml:space="preserve"> </w:t>
            </w:r>
          </w:p>
          <w:p w:rsidR="00296A2B" w:rsidRPr="007E29E0" w:rsidRDefault="00CF299F"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Pr>
                <w:rFonts w:eastAsia="Times New Roman" w:cs="Helvetica"/>
                <w:i/>
                <w:color w:val="141413"/>
                <w:sz w:val="18"/>
                <w:szCs w:val="14"/>
                <w:lang w:val="en-US" w:eastAsia="en-CA" w:bidi="en-US"/>
              </w:rPr>
              <w:t xml:space="preserve">The </w:t>
            </w:r>
            <w:r w:rsidRPr="0060502E">
              <w:rPr>
                <w:rFonts w:eastAsia="Times New Roman" w:cs="Helvetica"/>
                <w:i/>
                <w:color w:val="141413"/>
                <w:sz w:val="18"/>
                <w:szCs w:val="14"/>
                <w:lang w:val="en-US" w:eastAsia="en-CA" w:bidi="en-US"/>
              </w:rPr>
              <w:t>project</w:t>
            </w:r>
            <w:r w:rsidR="00A610E2">
              <w:rPr>
                <w:rFonts w:eastAsia="Times New Roman" w:cs="Helvetica"/>
                <w:i/>
                <w:color w:val="141413"/>
                <w:sz w:val="18"/>
                <w:szCs w:val="14"/>
                <w:lang w:val="en-US" w:eastAsia="en-CA" w:bidi="en-US"/>
              </w:rPr>
              <w:t xml:space="preserve"> outcome</w:t>
            </w:r>
            <w:r w:rsidR="00A610E2" w:rsidRPr="0060502E">
              <w:rPr>
                <w:rFonts w:eastAsia="Times New Roman" w:cs="Helvetica"/>
                <w:i/>
                <w:color w:val="141413"/>
                <w:sz w:val="18"/>
                <w:szCs w:val="14"/>
                <w:lang w:val="en-US" w:eastAsia="en-CA" w:bidi="en-US"/>
              </w:rPr>
              <w:t xml:space="preserve"> </w:t>
            </w:r>
            <w:r w:rsidR="00A610E2">
              <w:rPr>
                <w:rFonts w:eastAsia="Times New Roman" w:cs="Helvetica"/>
                <w:i/>
                <w:color w:val="141413"/>
                <w:sz w:val="18"/>
                <w:szCs w:val="14"/>
                <w:lang w:val="en-US" w:eastAsia="en-CA" w:bidi="en-US"/>
              </w:rPr>
              <w:t xml:space="preserve">or output indicators </w:t>
            </w:r>
            <w:r w:rsidR="00A610E2" w:rsidRPr="0060502E">
              <w:rPr>
                <w:rFonts w:eastAsia="Times New Roman" w:cs="Helvetica"/>
                <w:i/>
                <w:color w:val="141413"/>
                <w:sz w:val="18"/>
                <w:szCs w:val="14"/>
                <w:lang w:val="en-US" w:eastAsia="en-CA" w:bidi="en-US"/>
              </w:rPr>
              <w:t>as stated in the M&amp;E Framework</w:t>
            </w:r>
            <w:r w:rsidR="00A610E2">
              <w:rPr>
                <w:rFonts w:eastAsia="Times New Roman" w:cs="Helvetica"/>
                <w:i/>
                <w:color w:val="141413"/>
                <w:sz w:val="18"/>
                <w:szCs w:val="14"/>
                <w:lang w:val="en-US" w:eastAsia="en-CA" w:bidi="en-US"/>
              </w:rPr>
              <w:t xml:space="preserve"> and/or AWP</w:t>
            </w:r>
          </w:p>
        </w:tc>
        <w:tc>
          <w:tcPr>
            <w:tcW w:w="1800" w:type="dxa"/>
            <w:shd w:val="clear" w:color="auto" w:fill="D9D9D9" w:themeFill="background1" w:themeFillShade="D9"/>
          </w:tcPr>
          <w:p w:rsidR="00A610E2" w:rsidRDefault="00296A2B"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Target</w:t>
            </w:r>
            <w:r w:rsidR="00A610E2" w:rsidRPr="00A610E2">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jc w:val="left"/>
              <w:rPr>
                <w:rFonts w:ascii="Helvetica" w:eastAsia="Times New Roman" w:hAnsi="Helvetica" w:cs="Times-Roman"/>
                <w:b/>
                <w:color w:val="003D80"/>
                <w:sz w:val="20"/>
                <w:szCs w:val="20"/>
                <w:lang w:val="en-US" w:eastAsia="en-CA" w:bidi="en-US"/>
              </w:rPr>
            </w:pPr>
            <w:r w:rsidRPr="00A610E2">
              <w:rPr>
                <w:rFonts w:eastAsia="Times New Roman" w:cs="Helvetica"/>
                <w:i/>
                <w:color w:val="141413"/>
                <w:sz w:val="18"/>
                <w:szCs w:val="14"/>
                <w:lang w:val="en-US" w:eastAsia="en-CA" w:bidi="en-US"/>
              </w:rPr>
              <w:t>Targets agreed by project team on each on each indicator</w:t>
            </w:r>
          </w:p>
        </w:tc>
        <w:tc>
          <w:tcPr>
            <w:tcW w:w="3330" w:type="dxa"/>
            <w:shd w:val="clear" w:color="auto" w:fill="D9D9D9" w:themeFill="background1" w:themeFillShade="D9"/>
          </w:tcPr>
          <w:p w:rsidR="00A610E2" w:rsidRDefault="00296A2B"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Update on Results</w:t>
            </w:r>
            <w:r w:rsidR="00A610E2" w:rsidRPr="00A9499C">
              <w:rPr>
                <w:rFonts w:eastAsia="Times New Roman" w:cs="Helvetica"/>
                <w:i/>
                <w:color w:val="141413"/>
                <w:sz w:val="18"/>
                <w:szCs w:val="14"/>
                <w:lang w:val="en-US" w:eastAsia="en-CA" w:bidi="en-US"/>
              </w:rPr>
              <w:t xml:space="preserve"> </w:t>
            </w:r>
          </w:p>
          <w:p w:rsidR="00296A2B" w:rsidRPr="00A610E2" w:rsidRDefault="00A610E2"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A9499C">
              <w:rPr>
                <w:rFonts w:eastAsia="Times New Roman" w:cs="Helvetica"/>
                <w:i/>
                <w:color w:val="141413"/>
                <w:sz w:val="18"/>
                <w:szCs w:val="14"/>
                <w:lang w:val="en-US" w:eastAsia="en-CA" w:bidi="en-US"/>
              </w:rPr>
              <w:t>A</w:t>
            </w:r>
            <w:r>
              <w:rPr>
                <w:rFonts w:eastAsia="Times New Roman" w:cs="Helvetica"/>
                <w:i/>
                <w:color w:val="141413"/>
                <w:sz w:val="18"/>
                <w:szCs w:val="14"/>
                <w:lang w:val="en-US" w:eastAsia="en-CA" w:bidi="en-US"/>
              </w:rPr>
              <w:t xml:space="preserve"> </w:t>
            </w:r>
            <w:r w:rsidRPr="00A9499C">
              <w:rPr>
                <w:rFonts w:eastAsia="Times New Roman" w:cs="Helvetica"/>
                <w:i/>
                <w:color w:val="141413"/>
                <w:sz w:val="18"/>
                <w:szCs w:val="14"/>
                <w:lang w:val="en-US" w:eastAsia="en-CA" w:bidi="en-US"/>
              </w:rPr>
              <w:t xml:space="preserve">brief analysis on any relevant changes </w:t>
            </w:r>
            <w:r>
              <w:rPr>
                <w:rFonts w:eastAsia="Times New Roman" w:cs="Helvetica"/>
                <w:i/>
                <w:color w:val="141413"/>
                <w:sz w:val="18"/>
                <w:szCs w:val="14"/>
                <w:lang w:val="en-US" w:eastAsia="en-CA" w:bidi="en-US"/>
              </w:rPr>
              <w:t>pertaining to the outcome or output achieved with respect to targets</w:t>
            </w:r>
          </w:p>
        </w:tc>
        <w:tc>
          <w:tcPr>
            <w:tcW w:w="1350" w:type="dxa"/>
            <w:shd w:val="clear" w:color="auto" w:fill="D9D9D9" w:themeFill="background1" w:themeFillShade="D9"/>
          </w:tcPr>
          <w:p w:rsidR="00296A2B" w:rsidRPr="00AC40BC" w:rsidRDefault="003657C1" w:rsidP="002728AE">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eastAsia="Times New Roman" w:cs="Times-Roman"/>
                <w:b/>
                <w:color w:val="003D80"/>
                <w:sz w:val="20"/>
                <w:szCs w:val="20"/>
                <w:lang w:val="en-US" w:eastAsia="en-CA" w:bidi="en-US"/>
              </w:rPr>
            </w:pPr>
            <w:r>
              <w:rPr>
                <w:rFonts w:eastAsia="Times New Roman" w:cs="Times-Roman"/>
                <w:b/>
                <w:color w:val="003D80"/>
                <w:sz w:val="20"/>
                <w:szCs w:val="20"/>
                <w:lang w:val="en-US" w:eastAsia="en-CA" w:bidi="en-US"/>
              </w:rPr>
              <w:t>C</w:t>
            </w:r>
            <w:r w:rsidR="00296A2B">
              <w:rPr>
                <w:rFonts w:eastAsia="Times New Roman" w:cs="Times-Roman"/>
                <w:b/>
                <w:color w:val="003D80"/>
                <w:sz w:val="20"/>
                <w:szCs w:val="20"/>
                <w:lang w:val="en-US" w:eastAsia="en-CA" w:bidi="en-US"/>
              </w:rPr>
              <w:t>omments</w:t>
            </w:r>
          </w:p>
        </w:tc>
      </w:tr>
      <w:tr w:rsidR="00040826" w:rsidRPr="00A9499C" w:rsidTr="00D33512">
        <w:trPr>
          <w:trHeight w:val="218"/>
        </w:trPr>
        <w:tc>
          <w:tcPr>
            <w:tcW w:w="10345" w:type="dxa"/>
            <w:gridSpan w:val="5"/>
            <w:tcBorders>
              <w:top w:val="single" w:sz="4" w:space="0" w:color="FFFFFF" w:themeColor="background1"/>
            </w:tcBorders>
            <w:shd w:val="clear" w:color="auto" w:fill="D9D9D9" w:themeFill="background1" w:themeFillShade="D9"/>
          </w:tcPr>
          <w:p w:rsidR="00040826" w:rsidRPr="00040826"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r w:rsidRPr="00040826">
              <w:rPr>
                <w:rFonts w:eastAsia="Times New Roman" w:cs="Times-Roman"/>
                <w:b/>
                <w:color w:val="003D80"/>
                <w:sz w:val="20"/>
                <w:szCs w:val="20"/>
                <w:lang w:val="en-US" w:eastAsia="en-CA" w:bidi="en-US"/>
              </w:rPr>
              <w:t>Outcome</w:t>
            </w:r>
            <w:r>
              <w:rPr>
                <w:rFonts w:eastAsia="Times New Roman" w:cs="Times-Roman"/>
                <w:b/>
                <w:color w:val="003D80"/>
                <w:sz w:val="20"/>
                <w:szCs w:val="20"/>
                <w:lang w:val="en-US" w:eastAsia="en-CA" w:bidi="en-US"/>
              </w:rPr>
              <w:t>s</w:t>
            </w:r>
            <w:r w:rsidR="001D31A1">
              <w:rPr>
                <w:rFonts w:eastAsia="Times New Roman" w:cs="Times-Roman"/>
                <w:b/>
                <w:color w:val="003D80"/>
                <w:sz w:val="20"/>
                <w:szCs w:val="20"/>
                <w:lang w:val="en-US" w:eastAsia="en-CA" w:bidi="en-US"/>
              </w:rPr>
              <w:t>:</w:t>
            </w:r>
            <w:r w:rsidR="001D31A1" w:rsidRPr="00EF4A0E">
              <w:rPr>
                <w:rFonts w:ascii="Times New Roman" w:hAnsi="Times New Roman"/>
                <w:b/>
                <w:sz w:val="24"/>
                <w:lang w:val="en-US"/>
              </w:rPr>
              <w:t xml:space="preserve"> </w:t>
            </w:r>
            <w:r w:rsidR="001D31A1" w:rsidRPr="001D31A1">
              <w:rPr>
                <w:rFonts w:asciiTheme="minorHAnsi" w:hAnsiTheme="minorHAnsi" w:cstheme="minorHAnsi"/>
                <w:b/>
                <w:sz w:val="20"/>
                <w:szCs w:val="20"/>
                <w:lang w:val="en-US"/>
              </w:rPr>
              <w:t>Enabling environment for decision-making on the implementation of the Minamata Convention created</w:t>
            </w:r>
          </w:p>
        </w:tc>
      </w:tr>
      <w:tr w:rsidR="00040826" w:rsidRPr="00A9499C" w:rsidTr="00D33512">
        <w:trPr>
          <w:trHeight w:val="182"/>
        </w:trPr>
        <w:tc>
          <w:tcPr>
            <w:tcW w:w="10345" w:type="dxa"/>
            <w:gridSpan w:val="5"/>
            <w:shd w:val="clear" w:color="auto" w:fill="D9D9D9" w:themeFill="background1" w:themeFillShade="D9"/>
          </w:tcPr>
          <w:p w:rsidR="00040826" w:rsidRPr="00A9499C"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Times-Roman"/>
                <w:color w:val="141413"/>
                <w:sz w:val="20"/>
                <w:szCs w:val="20"/>
                <w:lang w:val="en-US" w:eastAsia="en-CA" w:bidi="en-US"/>
              </w:rPr>
            </w:pPr>
            <w:r w:rsidRPr="00040826">
              <w:rPr>
                <w:rFonts w:eastAsia="Times New Roman" w:cs="Times-Roman"/>
                <w:b/>
                <w:color w:val="003D80"/>
                <w:sz w:val="20"/>
                <w:szCs w:val="20"/>
                <w:lang w:val="en-US" w:eastAsia="en-CA" w:bidi="en-US"/>
              </w:rPr>
              <w:t xml:space="preserve">Outputs </w:t>
            </w:r>
          </w:p>
        </w:tc>
      </w:tr>
      <w:tr w:rsidR="00040826" w:rsidRPr="00A9499C" w:rsidTr="00184BD1">
        <w:trPr>
          <w:trHeight w:val="1610"/>
        </w:trPr>
        <w:tc>
          <w:tcPr>
            <w:tcW w:w="2250" w:type="dxa"/>
            <w:shd w:val="clear" w:color="auto" w:fill="auto"/>
          </w:tcPr>
          <w:p w:rsidR="002728AE" w:rsidRPr="00F63C4D" w:rsidRDefault="00716540" w:rsidP="0071654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eastAsia="Times New Roman" w:hAnsiTheme="minorHAnsi" w:cstheme="minorHAnsi"/>
                <w:color w:val="000000" w:themeColor="text1"/>
                <w:sz w:val="20"/>
                <w:szCs w:val="20"/>
                <w:lang w:val="en-US" w:eastAsia="en-CA" w:bidi="en-US"/>
              </w:rPr>
            </w:pPr>
            <w:r w:rsidRPr="00F63C4D">
              <w:rPr>
                <w:rFonts w:asciiTheme="minorHAnsi" w:eastAsia="Times New Roman" w:hAnsiTheme="minorHAnsi" w:cstheme="minorHAnsi"/>
                <w:color w:val="000000" w:themeColor="text1"/>
                <w:sz w:val="20"/>
                <w:szCs w:val="20"/>
                <w:lang w:val="en-US" w:eastAsia="en-CA" w:bidi="en-US"/>
              </w:rPr>
              <w:t xml:space="preserve">Policy, regulatory framework and institutional capacity needs </w:t>
            </w:r>
            <w:proofErr w:type="gramStart"/>
            <w:r w:rsidRPr="00F63C4D">
              <w:rPr>
                <w:rFonts w:asciiTheme="minorHAnsi" w:eastAsia="Times New Roman" w:hAnsiTheme="minorHAnsi" w:cstheme="minorHAnsi"/>
                <w:color w:val="000000" w:themeColor="text1"/>
                <w:sz w:val="20"/>
                <w:szCs w:val="20"/>
                <w:lang w:val="en-US" w:eastAsia="en-CA" w:bidi="en-US"/>
              </w:rPr>
              <w:t>in regard to</w:t>
            </w:r>
            <w:proofErr w:type="gramEnd"/>
            <w:r w:rsidRPr="00F63C4D">
              <w:rPr>
                <w:rFonts w:asciiTheme="minorHAnsi" w:eastAsia="Times New Roman" w:hAnsiTheme="minorHAnsi" w:cstheme="minorHAnsi"/>
                <w:color w:val="000000" w:themeColor="text1"/>
                <w:sz w:val="20"/>
                <w:szCs w:val="20"/>
                <w:lang w:val="en-US" w:eastAsia="en-CA" w:bidi="en-US"/>
              </w:rPr>
              <w:t xml:space="preserve"> the implementation of the Convention’s provisions assessed</w:t>
            </w:r>
          </w:p>
        </w:tc>
        <w:tc>
          <w:tcPr>
            <w:tcW w:w="1615" w:type="dxa"/>
            <w:shd w:val="clear" w:color="auto" w:fill="auto"/>
          </w:tcPr>
          <w:p w:rsidR="002728AE" w:rsidRPr="00CE6FC6" w:rsidRDefault="00D05A5B" w:rsidP="002728AE">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CE6FC6">
              <w:rPr>
                <w:rFonts w:asciiTheme="minorHAnsi" w:eastAsia="Times New Roman" w:hAnsiTheme="minorHAnsi" w:cstheme="minorHAnsi"/>
                <w:color w:val="141413"/>
                <w:sz w:val="20"/>
                <w:szCs w:val="20"/>
                <w:lang w:val="en-US" w:eastAsia="en-CA" w:bidi="en-US"/>
              </w:rPr>
              <w:t xml:space="preserve">Component on legal and institutional frame work assessment for the MIA report finalized. </w:t>
            </w:r>
          </w:p>
        </w:tc>
        <w:tc>
          <w:tcPr>
            <w:tcW w:w="1800" w:type="dxa"/>
            <w:shd w:val="clear" w:color="auto" w:fill="auto"/>
          </w:tcPr>
          <w:p w:rsidR="00B45BCC" w:rsidRPr="00CE6FC6" w:rsidRDefault="00D05A5B" w:rsidP="005F29CB">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CE6FC6">
              <w:rPr>
                <w:rFonts w:asciiTheme="minorHAnsi" w:eastAsia="Times New Roman" w:hAnsiTheme="minorHAnsi" w:cstheme="minorHAnsi"/>
                <w:color w:val="141413"/>
                <w:sz w:val="20"/>
                <w:szCs w:val="20"/>
                <w:lang w:val="en-US" w:eastAsia="en-CA" w:bidi="en-US"/>
              </w:rPr>
              <w:t>Finalize the report on the institutional and legal assessment component for the finalization of the MIA Report</w:t>
            </w:r>
          </w:p>
        </w:tc>
        <w:tc>
          <w:tcPr>
            <w:tcW w:w="3330" w:type="dxa"/>
            <w:shd w:val="clear" w:color="auto" w:fill="auto"/>
          </w:tcPr>
          <w:p w:rsidR="00040826" w:rsidRPr="00CE6FC6" w:rsidRDefault="00D05A5B"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r w:rsidRPr="00CE6FC6">
              <w:rPr>
                <w:rFonts w:asciiTheme="minorHAnsi" w:eastAsia="Times New Roman" w:hAnsiTheme="minorHAnsi" w:cstheme="minorHAnsi"/>
                <w:spacing w:val="-2"/>
                <w:kern w:val="16"/>
                <w:position w:val="-2"/>
                <w:sz w:val="20"/>
                <w:szCs w:val="20"/>
                <w:lang w:val="en-US"/>
              </w:rPr>
              <w:t xml:space="preserve">This assessment was completed </w:t>
            </w:r>
            <w:r w:rsidR="00A5253B" w:rsidRPr="00CE6FC6">
              <w:rPr>
                <w:rFonts w:asciiTheme="minorHAnsi" w:eastAsia="Times New Roman" w:hAnsiTheme="minorHAnsi" w:cstheme="minorHAnsi"/>
                <w:spacing w:val="-2"/>
                <w:kern w:val="16"/>
                <w:position w:val="-2"/>
                <w:sz w:val="20"/>
                <w:szCs w:val="20"/>
                <w:lang w:val="en-US"/>
              </w:rPr>
              <w:t xml:space="preserve">in March 2018 </w:t>
            </w:r>
            <w:r w:rsidRPr="00CE6FC6">
              <w:rPr>
                <w:rFonts w:asciiTheme="minorHAnsi" w:eastAsia="Times New Roman" w:hAnsiTheme="minorHAnsi" w:cstheme="minorHAnsi"/>
                <w:spacing w:val="-2"/>
                <w:kern w:val="16"/>
                <w:position w:val="-2"/>
                <w:sz w:val="20"/>
                <w:szCs w:val="20"/>
                <w:lang w:val="en-US"/>
              </w:rPr>
              <w:t>with a report a</w:t>
            </w:r>
            <w:r w:rsidR="00A5253B" w:rsidRPr="00CE6FC6">
              <w:rPr>
                <w:rFonts w:asciiTheme="minorHAnsi" w:eastAsia="Times New Roman" w:hAnsiTheme="minorHAnsi" w:cstheme="minorHAnsi"/>
                <w:spacing w:val="-2"/>
                <w:kern w:val="16"/>
                <w:position w:val="-2"/>
                <w:sz w:val="20"/>
                <w:szCs w:val="20"/>
                <w:lang w:val="en-US"/>
              </w:rPr>
              <w:t xml:space="preserve">pproved by all key stakeholders and </w:t>
            </w:r>
            <w:r w:rsidR="0026095B" w:rsidRPr="00CE6FC6">
              <w:rPr>
                <w:rFonts w:asciiTheme="minorHAnsi" w:eastAsia="Times New Roman" w:hAnsiTheme="minorHAnsi" w:cstheme="minorHAnsi"/>
                <w:spacing w:val="-2"/>
                <w:kern w:val="16"/>
                <w:position w:val="-2"/>
                <w:sz w:val="20"/>
                <w:szCs w:val="20"/>
                <w:lang w:val="en-US"/>
              </w:rPr>
              <w:t>incorp</w:t>
            </w:r>
            <w:r w:rsidRPr="00CE6FC6">
              <w:rPr>
                <w:rFonts w:asciiTheme="minorHAnsi" w:eastAsia="Times New Roman" w:hAnsiTheme="minorHAnsi" w:cstheme="minorHAnsi"/>
                <w:spacing w:val="-2"/>
                <w:kern w:val="16"/>
                <w:position w:val="-2"/>
                <w:sz w:val="20"/>
                <w:szCs w:val="20"/>
                <w:lang w:val="en-US"/>
              </w:rPr>
              <w:t xml:space="preserve">orated </w:t>
            </w:r>
            <w:r w:rsidR="0048414E">
              <w:rPr>
                <w:rFonts w:asciiTheme="minorHAnsi" w:eastAsia="Times New Roman" w:hAnsiTheme="minorHAnsi" w:cstheme="minorHAnsi"/>
                <w:spacing w:val="-2"/>
                <w:kern w:val="16"/>
                <w:position w:val="-2"/>
                <w:sz w:val="20"/>
                <w:szCs w:val="20"/>
                <w:lang w:val="en-US"/>
              </w:rPr>
              <w:t xml:space="preserve">in </w:t>
            </w:r>
            <w:r w:rsidRPr="00CE6FC6">
              <w:rPr>
                <w:rFonts w:asciiTheme="minorHAnsi" w:eastAsia="Times New Roman" w:hAnsiTheme="minorHAnsi" w:cstheme="minorHAnsi"/>
                <w:spacing w:val="-2"/>
                <w:kern w:val="16"/>
                <w:position w:val="-2"/>
                <w:sz w:val="20"/>
                <w:szCs w:val="20"/>
                <w:lang w:val="en-US"/>
              </w:rPr>
              <w:t>the Ghana MIA Report</w:t>
            </w:r>
            <w:r w:rsidR="0048414E" w:rsidRPr="00CE6FC6">
              <w:rPr>
                <w:rFonts w:asciiTheme="minorHAnsi" w:eastAsia="Times New Roman" w:hAnsiTheme="minorHAnsi" w:cstheme="minorHAnsi"/>
                <w:spacing w:val="-2"/>
                <w:kern w:val="16"/>
                <w:position w:val="-2"/>
                <w:sz w:val="20"/>
                <w:szCs w:val="20"/>
                <w:lang w:val="en-US"/>
              </w:rPr>
              <w:t xml:space="preserve"> </w:t>
            </w:r>
            <w:r w:rsidR="0048414E">
              <w:rPr>
                <w:rFonts w:asciiTheme="minorHAnsi" w:eastAsia="Times New Roman" w:hAnsiTheme="minorHAnsi" w:cstheme="minorHAnsi"/>
                <w:spacing w:val="-2"/>
                <w:kern w:val="16"/>
                <w:position w:val="-2"/>
                <w:sz w:val="20"/>
                <w:szCs w:val="20"/>
                <w:lang w:val="en-US"/>
              </w:rPr>
              <w:t xml:space="preserve">as </w:t>
            </w:r>
            <w:r w:rsidR="0048414E" w:rsidRPr="00CE6FC6">
              <w:rPr>
                <w:rFonts w:asciiTheme="minorHAnsi" w:eastAsia="Times New Roman" w:hAnsiTheme="minorHAnsi" w:cstheme="minorHAnsi"/>
                <w:spacing w:val="-2"/>
                <w:kern w:val="16"/>
                <w:position w:val="-2"/>
                <w:sz w:val="20"/>
                <w:szCs w:val="20"/>
                <w:lang w:val="en-US"/>
              </w:rPr>
              <w:t>Chapter</w:t>
            </w:r>
            <w:r w:rsidR="0048414E">
              <w:rPr>
                <w:rFonts w:asciiTheme="minorHAnsi" w:eastAsia="Times New Roman" w:hAnsiTheme="minorHAnsi" w:cstheme="minorHAnsi"/>
                <w:spacing w:val="-2"/>
                <w:kern w:val="16"/>
                <w:position w:val="-2"/>
                <w:sz w:val="20"/>
                <w:szCs w:val="20"/>
                <w:lang w:val="en-US"/>
              </w:rPr>
              <w:t xml:space="preserve"> 3. The assessment</w:t>
            </w:r>
            <w:r w:rsidR="0026095B" w:rsidRPr="00CE6FC6">
              <w:rPr>
                <w:rFonts w:asciiTheme="minorHAnsi" w:eastAsia="Times New Roman" w:hAnsiTheme="minorHAnsi" w:cstheme="minorHAnsi"/>
                <w:spacing w:val="-2"/>
                <w:kern w:val="16"/>
                <w:position w:val="-2"/>
                <w:sz w:val="20"/>
                <w:szCs w:val="20"/>
                <w:lang w:val="en-US"/>
              </w:rPr>
              <w:t xml:space="preserve"> has contributed to the process of strengthening national institutions by proffering recommendations (i.e. review of the mercury law) that will capacitate national institutions to effectively mainstream the Minamata Convention in Ghana. </w:t>
            </w:r>
          </w:p>
        </w:tc>
        <w:tc>
          <w:tcPr>
            <w:tcW w:w="1350" w:type="dxa"/>
            <w:shd w:val="clear" w:color="auto" w:fill="auto"/>
          </w:tcPr>
          <w:p w:rsidR="00CE5CC8" w:rsidRPr="00CE6FC6" w:rsidRDefault="00CE5CC8"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tc>
      </w:tr>
      <w:tr w:rsidR="002728AE" w:rsidRPr="00A9499C" w:rsidTr="00184BD1">
        <w:trPr>
          <w:trHeight w:val="1880"/>
        </w:trPr>
        <w:tc>
          <w:tcPr>
            <w:tcW w:w="2250" w:type="dxa"/>
            <w:shd w:val="clear" w:color="auto" w:fill="auto"/>
          </w:tcPr>
          <w:p w:rsidR="005F29CB" w:rsidRPr="00F63C4D" w:rsidRDefault="00716540" w:rsidP="0071654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eastAsia="Times New Roman" w:hAnsiTheme="minorHAnsi" w:cstheme="minorHAnsi"/>
                <w:color w:val="000000" w:themeColor="text1"/>
                <w:sz w:val="20"/>
                <w:szCs w:val="20"/>
                <w:lang w:val="en-US" w:eastAsia="en-CA" w:bidi="en-US"/>
              </w:rPr>
            </w:pPr>
            <w:r w:rsidRPr="00F63C4D">
              <w:rPr>
                <w:rFonts w:asciiTheme="minorHAnsi" w:eastAsia="Times New Roman" w:hAnsiTheme="minorHAnsi" w:cstheme="minorHAnsi"/>
                <w:color w:val="000000" w:themeColor="text1"/>
                <w:sz w:val="20"/>
                <w:szCs w:val="20"/>
                <w:lang w:val="en-US" w:eastAsia="en-CA" w:bidi="en-US"/>
              </w:rPr>
              <w:t>Awareness on the environmental and health impacts of mercury raised.</w:t>
            </w:r>
          </w:p>
        </w:tc>
        <w:tc>
          <w:tcPr>
            <w:tcW w:w="1615" w:type="dxa"/>
            <w:shd w:val="clear" w:color="auto" w:fill="auto"/>
          </w:tcPr>
          <w:p w:rsidR="002728AE" w:rsidRPr="00CE6FC6" w:rsidRDefault="0084045C"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hAnsiTheme="minorHAnsi" w:cstheme="minorHAnsi"/>
                <w:spacing w:val="-2"/>
                <w:kern w:val="16"/>
                <w:position w:val="-2"/>
                <w:sz w:val="20"/>
                <w:szCs w:val="20"/>
                <w:lang w:val="en-US"/>
              </w:rPr>
            </w:pPr>
            <w:r>
              <w:rPr>
                <w:rFonts w:asciiTheme="minorHAnsi" w:hAnsiTheme="minorHAnsi" w:cstheme="minorHAnsi"/>
                <w:spacing w:val="-2"/>
                <w:kern w:val="16"/>
                <w:position w:val="-2"/>
                <w:sz w:val="20"/>
                <w:szCs w:val="20"/>
                <w:lang w:val="en-US"/>
              </w:rPr>
              <w:t xml:space="preserve">500 </w:t>
            </w:r>
            <w:r w:rsidR="006F3D33">
              <w:rPr>
                <w:rFonts w:asciiTheme="minorHAnsi" w:hAnsiTheme="minorHAnsi" w:cstheme="minorHAnsi"/>
                <w:spacing w:val="-2"/>
                <w:kern w:val="16"/>
                <w:position w:val="-2"/>
                <w:sz w:val="20"/>
                <w:szCs w:val="20"/>
                <w:lang w:val="en-US"/>
              </w:rPr>
              <w:t>Awareness raising materials developed and distributed</w:t>
            </w:r>
          </w:p>
        </w:tc>
        <w:tc>
          <w:tcPr>
            <w:tcW w:w="1800" w:type="dxa"/>
            <w:shd w:val="clear" w:color="auto" w:fill="auto"/>
          </w:tcPr>
          <w:p w:rsidR="002728AE" w:rsidRPr="00CE6FC6" w:rsidRDefault="00902812" w:rsidP="005F29CB">
            <w:pPr>
              <w:suppressAutoHyphens/>
              <w:spacing w:after="0" w:line="240" w:lineRule="auto"/>
              <w:contextualSpacing/>
              <w:jc w:val="left"/>
              <w:rPr>
                <w:rFonts w:asciiTheme="minorHAnsi" w:hAnsiTheme="minorHAnsi" w:cstheme="minorHAnsi"/>
                <w:spacing w:val="-2"/>
                <w:kern w:val="16"/>
                <w:position w:val="-2"/>
                <w:sz w:val="20"/>
                <w:szCs w:val="20"/>
              </w:rPr>
            </w:pPr>
            <w:r w:rsidRPr="00CE6FC6">
              <w:rPr>
                <w:rFonts w:asciiTheme="minorHAnsi" w:hAnsiTheme="minorHAnsi" w:cstheme="minorHAnsi"/>
                <w:spacing w:val="-2"/>
                <w:kern w:val="16"/>
                <w:position w:val="-2"/>
                <w:sz w:val="20"/>
                <w:szCs w:val="20"/>
              </w:rPr>
              <w:t>Develop</w:t>
            </w:r>
            <w:r w:rsidR="00B2195C">
              <w:rPr>
                <w:rFonts w:asciiTheme="minorHAnsi" w:hAnsiTheme="minorHAnsi" w:cstheme="minorHAnsi"/>
                <w:spacing w:val="-2"/>
                <w:kern w:val="16"/>
                <w:position w:val="-2"/>
                <w:sz w:val="20"/>
                <w:szCs w:val="20"/>
              </w:rPr>
              <w:t xml:space="preserve"> </w:t>
            </w:r>
            <w:r w:rsidR="00BE01BC">
              <w:rPr>
                <w:rFonts w:asciiTheme="minorHAnsi" w:hAnsiTheme="minorHAnsi" w:cstheme="minorHAnsi"/>
                <w:spacing w:val="-2"/>
                <w:kern w:val="16"/>
                <w:position w:val="-2"/>
                <w:sz w:val="20"/>
                <w:szCs w:val="20"/>
              </w:rPr>
              <w:t xml:space="preserve">and distribute </w:t>
            </w:r>
            <w:r w:rsidR="00B2195C">
              <w:rPr>
                <w:rFonts w:asciiTheme="minorHAnsi" w:hAnsiTheme="minorHAnsi" w:cstheme="minorHAnsi"/>
                <w:spacing w:val="-2"/>
                <w:kern w:val="16"/>
                <w:position w:val="-2"/>
                <w:sz w:val="20"/>
                <w:szCs w:val="20"/>
              </w:rPr>
              <w:t>500</w:t>
            </w:r>
            <w:r w:rsidRPr="00CE6FC6">
              <w:rPr>
                <w:rFonts w:asciiTheme="minorHAnsi" w:hAnsiTheme="minorHAnsi" w:cstheme="minorHAnsi"/>
                <w:spacing w:val="-2"/>
                <w:kern w:val="16"/>
                <w:position w:val="-2"/>
                <w:sz w:val="20"/>
                <w:szCs w:val="20"/>
              </w:rPr>
              <w:t xml:space="preserve"> awareness raising materials on mercury </w:t>
            </w:r>
            <w:r w:rsidR="00BE01BC">
              <w:rPr>
                <w:rFonts w:asciiTheme="minorHAnsi" w:hAnsiTheme="minorHAnsi" w:cstheme="minorHAnsi"/>
                <w:spacing w:val="-2"/>
                <w:kern w:val="16"/>
                <w:position w:val="-2"/>
                <w:sz w:val="20"/>
                <w:szCs w:val="20"/>
              </w:rPr>
              <w:t>management to all key stakeholders</w:t>
            </w:r>
            <w:r w:rsidR="00CF299F">
              <w:rPr>
                <w:rFonts w:asciiTheme="minorHAnsi" w:hAnsiTheme="minorHAnsi" w:cstheme="minorHAnsi"/>
                <w:spacing w:val="-2"/>
                <w:kern w:val="16"/>
                <w:position w:val="-2"/>
                <w:sz w:val="20"/>
                <w:szCs w:val="20"/>
              </w:rPr>
              <w:t>.</w:t>
            </w:r>
            <w:r w:rsidRPr="00CE6FC6">
              <w:rPr>
                <w:rFonts w:asciiTheme="minorHAnsi" w:hAnsiTheme="minorHAnsi" w:cstheme="minorHAnsi"/>
                <w:spacing w:val="-2"/>
                <w:kern w:val="16"/>
                <w:position w:val="-2"/>
                <w:sz w:val="20"/>
                <w:szCs w:val="20"/>
              </w:rPr>
              <w:t xml:space="preserve"> </w:t>
            </w:r>
          </w:p>
        </w:tc>
        <w:tc>
          <w:tcPr>
            <w:tcW w:w="3330" w:type="dxa"/>
            <w:shd w:val="clear" w:color="auto" w:fill="auto"/>
          </w:tcPr>
          <w:p w:rsidR="001D3B8F" w:rsidRDefault="00902812" w:rsidP="001D3B8F">
            <w:pPr>
              <w:pStyle w:val="ListParagraph"/>
              <w:numPr>
                <w:ilvl w:val="0"/>
                <w:numId w:val="9"/>
              </w:numPr>
              <w:suppressAutoHyphens/>
              <w:spacing w:after="0" w:line="240" w:lineRule="auto"/>
              <w:ind w:left="160" w:hanging="243"/>
              <w:jc w:val="left"/>
              <w:rPr>
                <w:rFonts w:asciiTheme="minorHAnsi" w:eastAsia="Times New Roman" w:hAnsiTheme="minorHAnsi" w:cstheme="minorHAnsi"/>
                <w:spacing w:val="-2"/>
                <w:kern w:val="16"/>
                <w:position w:val="-2"/>
                <w:sz w:val="20"/>
                <w:szCs w:val="20"/>
                <w:lang w:val="en-US"/>
              </w:rPr>
            </w:pPr>
            <w:r w:rsidRPr="00CE6FC6">
              <w:rPr>
                <w:rFonts w:asciiTheme="minorHAnsi" w:eastAsia="Times New Roman" w:hAnsiTheme="minorHAnsi" w:cstheme="minorHAnsi"/>
                <w:spacing w:val="-2"/>
                <w:kern w:val="16"/>
                <w:position w:val="-2"/>
                <w:sz w:val="20"/>
                <w:szCs w:val="20"/>
                <w:lang w:val="en-US"/>
              </w:rPr>
              <w:t xml:space="preserve">About 500 pamphlets and posters with information on mercury risks in Ghana have been </w:t>
            </w:r>
            <w:r w:rsidR="0084045C">
              <w:rPr>
                <w:rFonts w:asciiTheme="minorHAnsi" w:eastAsia="Times New Roman" w:hAnsiTheme="minorHAnsi" w:cstheme="minorHAnsi"/>
                <w:spacing w:val="-2"/>
                <w:kern w:val="16"/>
                <w:position w:val="-2"/>
                <w:sz w:val="20"/>
                <w:szCs w:val="20"/>
                <w:lang w:val="en-US"/>
              </w:rPr>
              <w:t xml:space="preserve">developed and </w:t>
            </w:r>
            <w:r w:rsidRPr="00CE6FC6">
              <w:rPr>
                <w:rFonts w:asciiTheme="minorHAnsi" w:eastAsia="Times New Roman" w:hAnsiTheme="minorHAnsi" w:cstheme="minorHAnsi"/>
                <w:spacing w:val="-2"/>
                <w:kern w:val="16"/>
                <w:position w:val="-2"/>
                <w:sz w:val="20"/>
                <w:szCs w:val="20"/>
                <w:lang w:val="en-US"/>
              </w:rPr>
              <w:t xml:space="preserve">shared </w:t>
            </w:r>
            <w:r w:rsidR="009A7285">
              <w:rPr>
                <w:rFonts w:asciiTheme="minorHAnsi" w:eastAsia="Times New Roman" w:hAnsiTheme="minorHAnsi" w:cstheme="minorHAnsi"/>
                <w:spacing w:val="-2"/>
                <w:kern w:val="16"/>
                <w:position w:val="-2"/>
                <w:sz w:val="20"/>
                <w:szCs w:val="20"/>
                <w:lang w:val="en-US"/>
              </w:rPr>
              <w:t xml:space="preserve">among </w:t>
            </w:r>
            <w:r w:rsidRPr="00CE6FC6">
              <w:rPr>
                <w:rFonts w:asciiTheme="minorHAnsi" w:eastAsia="Times New Roman" w:hAnsiTheme="minorHAnsi" w:cstheme="minorHAnsi"/>
                <w:spacing w:val="-2"/>
                <w:kern w:val="16"/>
                <w:position w:val="-2"/>
                <w:sz w:val="20"/>
                <w:szCs w:val="20"/>
                <w:lang w:val="en-US"/>
              </w:rPr>
              <w:t xml:space="preserve">key stakeholders for </w:t>
            </w:r>
            <w:r w:rsidR="009A7285" w:rsidRPr="00CE6FC6">
              <w:rPr>
                <w:rFonts w:asciiTheme="minorHAnsi" w:eastAsia="Times New Roman" w:hAnsiTheme="minorHAnsi" w:cstheme="minorHAnsi"/>
                <w:spacing w:val="-2"/>
                <w:kern w:val="16"/>
                <w:position w:val="-2"/>
                <w:sz w:val="20"/>
                <w:szCs w:val="20"/>
                <w:lang w:val="en-US"/>
              </w:rPr>
              <w:t>continuous information dissemination</w:t>
            </w:r>
            <w:r w:rsidR="009A7285">
              <w:rPr>
                <w:rFonts w:asciiTheme="minorHAnsi" w:eastAsia="Times New Roman" w:hAnsiTheme="minorHAnsi" w:cstheme="minorHAnsi"/>
                <w:spacing w:val="-2"/>
                <w:kern w:val="16"/>
                <w:position w:val="-2"/>
                <w:sz w:val="20"/>
                <w:szCs w:val="20"/>
                <w:lang w:val="en-US"/>
              </w:rPr>
              <w:t xml:space="preserve"> and</w:t>
            </w:r>
            <w:r w:rsidR="009A7285" w:rsidRPr="00CE6FC6">
              <w:rPr>
                <w:rFonts w:asciiTheme="minorHAnsi" w:eastAsia="Times New Roman" w:hAnsiTheme="minorHAnsi" w:cstheme="minorHAnsi"/>
                <w:spacing w:val="-2"/>
                <w:kern w:val="16"/>
                <w:position w:val="-2"/>
                <w:sz w:val="20"/>
                <w:szCs w:val="20"/>
                <w:lang w:val="en-US"/>
              </w:rPr>
              <w:t xml:space="preserve"> </w:t>
            </w:r>
            <w:r w:rsidRPr="00CE6FC6">
              <w:rPr>
                <w:rFonts w:asciiTheme="minorHAnsi" w:eastAsia="Times New Roman" w:hAnsiTheme="minorHAnsi" w:cstheme="minorHAnsi"/>
                <w:spacing w:val="-2"/>
                <w:kern w:val="16"/>
                <w:position w:val="-2"/>
                <w:sz w:val="20"/>
                <w:szCs w:val="20"/>
                <w:lang w:val="en-US"/>
              </w:rPr>
              <w:t xml:space="preserve">awareness creation. The information in the materials </w:t>
            </w:r>
            <w:r w:rsidR="00CE6FC6">
              <w:rPr>
                <w:rFonts w:asciiTheme="minorHAnsi" w:eastAsia="Times New Roman" w:hAnsiTheme="minorHAnsi" w:cstheme="minorHAnsi"/>
                <w:spacing w:val="-2"/>
                <w:kern w:val="16"/>
                <w:position w:val="-2"/>
                <w:sz w:val="20"/>
                <w:szCs w:val="20"/>
                <w:lang w:val="en-US"/>
              </w:rPr>
              <w:t xml:space="preserve">have contributed to </w:t>
            </w:r>
            <w:r w:rsidRPr="00CE6FC6">
              <w:rPr>
                <w:rFonts w:asciiTheme="minorHAnsi" w:eastAsia="Times New Roman" w:hAnsiTheme="minorHAnsi" w:cstheme="minorHAnsi"/>
                <w:spacing w:val="-2"/>
                <w:kern w:val="16"/>
                <w:position w:val="-2"/>
                <w:sz w:val="20"/>
                <w:szCs w:val="20"/>
                <w:lang w:val="en-US"/>
              </w:rPr>
              <w:t>increased knowledge among key stakeholders and communities on mercury use and sources in Ghana, the potential risks on people and the environment and the mitigation measures f</w:t>
            </w:r>
            <w:r w:rsidR="00035285" w:rsidRPr="00CE6FC6">
              <w:rPr>
                <w:rFonts w:asciiTheme="minorHAnsi" w:eastAsia="Times New Roman" w:hAnsiTheme="minorHAnsi" w:cstheme="minorHAnsi"/>
                <w:spacing w:val="-2"/>
                <w:kern w:val="16"/>
                <w:position w:val="-2"/>
                <w:sz w:val="20"/>
                <w:szCs w:val="20"/>
                <w:lang w:val="en-US"/>
              </w:rPr>
              <w:t>o</w:t>
            </w:r>
            <w:r w:rsidRPr="00CE6FC6">
              <w:rPr>
                <w:rFonts w:asciiTheme="minorHAnsi" w:eastAsia="Times New Roman" w:hAnsiTheme="minorHAnsi" w:cstheme="minorHAnsi"/>
                <w:spacing w:val="-2"/>
                <w:kern w:val="16"/>
                <w:position w:val="-2"/>
                <w:sz w:val="20"/>
                <w:szCs w:val="20"/>
                <w:lang w:val="en-US"/>
              </w:rPr>
              <w:t xml:space="preserve">r </w:t>
            </w:r>
            <w:r w:rsidR="00035285" w:rsidRPr="00CE6FC6">
              <w:rPr>
                <w:rFonts w:asciiTheme="minorHAnsi" w:eastAsia="Times New Roman" w:hAnsiTheme="minorHAnsi" w:cstheme="minorHAnsi"/>
                <w:spacing w:val="-2"/>
                <w:kern w:val="16"/>
                <w:position w:val="-2"/>
                <w:sz w:val="20"/>
                <w:szCs w:val="20"/>
                <w:lang w:val="en-US"/>
              </w:rPr>
              <w:t>averting</w:t>
            </w:r>
            <w:r w:rsidRPr="00CE6FC6">
              <w:rPr>
                <w:rFonts w:asciiTheme="minorHAnsi" w:eastAsia="Times New Roman" w:hAnsiTheme="minorHAnsi" w:cstheme="minorHAnsi"/>
                <w:spacing w:val="-2"/>
                <w:kern w:val="16"/>
                <w:position w:val="-2"/>
                <w:sz w:val="20"/>
                <w:szCs w:val="20"/>
                <w:lang w:val="en-US"/>
              </w:rPr>
              <w:t xml:space="preserve"> these risks. </w:t>
            </w:r>
          </w:p>
          <w:p w:rsidR="00754E2A" w:rsidRDefault="00754E2A" w:rsidP="00754E2A">
            <w:pPr>
              <w:pStyle w:val="ListParagraph"/>
              <w:suppressAutoHyphens/>
              <w:spacing w:after="0" w:line="240" w:lineRule="auto"/>
              <w:ind w:left="160"/>
              <w:jc w:val="left"/>
              <w:rPr>
                <w:rFonts w:asciiTheme="minorHAnsi" w:eastAsia="Times New Roman" w:hAnsiTheme="minorHAnsi" w:cstheme="minorHAnsi"/>
                <w:spacing w:val="-2"/>
                <w:kern w:val="16"/>
                <w:position w:val="-2"/>
                <w:sz w:val="20"/>
                <w:szCs w:val="20"/>
                <w:lang w:val="en-US"/>
              </w:rPr>
            </w:pPr>
          </w:p>
          <w:p w:rsidR="002728AE" w:rsidRPr="001D3B8F" w:rsidRDefault="00CE6FC6" w:rsidP="001D3B8F">
            <w:pPr>
              <w:pStyle w:val="ListParagraph"/>
              <w:numPr>
                <w:ilvl w:val="0"/>
                <w:numId w:val="9"/>
              </w:numPr>
              <w:suppressAutoHyphens/>
              <w:spacing w:after="0" w:line="240" w:lineRule="auto"/>
              <w:ind w:left="160" w:hanging="243"/>
              <w:jc w:val="left"/>
              <w:rPr>
                <w:rFonts w:asciiTheme="minorHAnsi" w:eastAsia="Times New Roman" w:hAnsiTheme="minorHAnsi" w:cstheme="minorHAnsi"/>
                <w:spacing w:val="-2"/>
                <w:kern w:val="16"/>
                <w:position w:val="-2"/>
                <w:sz w:val="20"/>
                <w:szCs w:val="20"/>
                <w:lang w:val="en-US"/>
              </w:rPr>
            </w:pPr>
            <w:r w:rsidRPr="001D3B8F">
              <w:rPr>
                <w:rFonts w:asciiTheme="minorHAnsi" w:eastAsia="Times New Roman" w:hAnsiTheme="minorHAnsi" w:cstheme="minorHAnsi"/>
                <w:spacing w:val="-2"/>
                <w:kern w:val="16"/>
                <w:position w:val="-2"/>
                <w:sz w:val="20"/>
                <w:szCs w:val="20"/>
                <w:lang w:val="en-US"/>
              </w:rPr>
              <w:t xml:space="preserve">Three forums (Launch of MIA Report, Stakeholder engagement on mercury management in the health sector and </w:t>
            </w:r>
            <w:r w:rsidR="009A7285">
              <w:rPr>
                <w:rFonts w:asciiTheme="minorHAnsi" w:eastAsia="Times New Roman" w:hAnsiTheme="minorHAnsi" w:cstheme="minorHAnsi"/>
                <w:spacing w:val="-2"/>
                <w:kern w:val="16"/>
                <w:position w:val="-2"/>
                <w:sz w:val="20"/>
                <w:szCs w:val="20"/>
                <w:lang w:val="en-US"/>
              </w:rPr>
              <w:t xml:space="preserve">the </w:t>
            </w:r>
            <w:r w:rsidRPr="001D3B8F">
              <w:rPr>
                <w:rFonts w:asciiTheme="minorHAnsi" w:eastAsia="Times New Roman" w:hAnsiTheme="minorHAnsi" w:cstheme="minorHAnsi"/>
                <w:spacing w:val="-2"/>
                <w:kern w:val="16"/>
                <w:position w:val="-2"/>
                <w:sz w:val="20"/>
                <w:szCs w:val="20"/>
                <w:lang w:val="en-US"/>
              </w:rPr>
              <w:t xml:space="preserve">National Preparation Meeting on COP2) have been used as platforms for awareness creation on mercury risks in Ghana. Information on such </w:t>
            </w:r>
            <w:r w:rsidR="001D3B8F" w:rsidRPr="001D3B8F">
              <w:rPr>
                <w:rFonts w:asciiTheme="minorHAnsi" w:eastAsia="Times New Roman" w:hAnsiTheme="minorHAnsi" w:cstheme="minorHAnsi"/>
                <w:spacing w:val="-2"/>
                <w:kern w:val="16"/>
                <w:position w:val="-2"/>
                <w:sz w:val="20"/>
                <w:szCs w:val="20"/>
                <w:lang w:val="en-US"/>
              </w:rPr>
              <w:t>engagements</w:t>
            </w:r>
            <w:r w:rsidRPr="001D3B8F">
              <w:rPr>
                <w:rFonts w:asciiTheme="minorHAnsi" w:eastAsia="Times New Roman" w:hAnsiTheme="minorHAnsi" w:cstheme="minorHAnsi"/>
                <w:spacing w:val="-2"/>
                <w:kern w:val="16"/>
                <w:position w:val="-2"/>
                <w:sz w:val="20"/>
                <w:szCs w:val="20"/>
                <w:lang w:val="en-US"/>
              </w:rPr>
              <w:t xml:space="preserve"> have</w:t>
            </w:r>
            <w:r w:rsidR="001D3B8F">
              <w:rPr>
                <w:rFonts w:asciiTheme="minorHAnsi" w:eastAsia="Times New Roman" w:hAnsiTheme="minorHAnsi" w:cstheme="minorHAnsi"/>
                <w:spacing w:val="-2"/>
                <w:kern w:val="16"/>
                <w:position w:val="-2"/>
                <w:sz w:val="20"/>
                <w:szCs w:val="20"/>
                <w:lang w:val="en-US"/>
              </w:rPr>
              <w:t xml:space="preserve"> also </w:t>
            </w:r>
            <w:r w:rsidRPr="001D3B8F">
              <w:rPr>
                <w:rFonts w:asciiTheme="minorHAnsi" w:eastAsia="Times New Roman" w:hAnsiTheme="minorHAnsi" w:cstheme="minorHAnsi"/>
                <w:spacing w:val="-2"/>
                <w:kern w:val="16"/>
                <w:position w:val="-2"/>
                <w:sz w:val="20"/>
                <w:szCs w:val="20"/>
                <w:lang w:val="en-US"/>
              </w:rPr>
              <w:t>be</w:t>
            </w:r>
            <w:r w:rsidR="001D3B8F" w:rsidRPr="001D3B8F">
              <w:rPr>
                <w:rFonts w:asciiTheme="minorHAnsi" w:eastAsia="Times New Roman" w:hAnsiTheme="minorHAnsi" w:cstheme="minorHAnsi"/>
                <w:spacing w:val="-2"/>
                <w:kern w:val="16"/>
                <w:position w:val="-2"/>
                <w:sz w:val="20"/>
                <w:szCs w:val="20"/>
                <w:lang w:val="en-US"/>
              </w:rPr>
              <w:t xml:space="preserve">en shared through media </w:t>
            </w:r>
            <w:r w:rsidR="009A7285">
              <w:rPr>
                <w:rFonts w:asciiTheme="minorHAnsi" w:eastAsia="Times New Roman" w:hAnsiTheme="minorHAnsi" w:cstheme="minorHAnsi"/>
                <w:spacing w:val="-2"/>
                <w:kern w:val="16"/>
                <w:position w:val="-2"/>
                <w:sz w:val="20"/>
                <w:szCs w:val="20"/>
                <w:lang w:val="en-US"/>
              </w:rPr>
              <w:t xml:space="preserve">portals </w:t>
            </w:r>
            <w:r w:rsidR="001B3A01">
              <w:rPr>
                <w:rFonts w:asciiTheme="minorHAnsi" w:eastAsia="Times New Roman" w:hAnsiTheme="minorHAnsi" w:cstheme="minorHAnsi"/>
                <w:spacing w:val="-2"/>
                <w:kern w:val="16"/>
                <w:position w:val="-2"/>
                <w:sz w:val="20"/>
                <w:szCs w:val="20"/>
                <w:lang w:val="en-US"/>
              </w:rPr>
              <w:t xml:space="preserve">and has contributed </w:t>
            </w:r>
            <w:r w:rsidR="00035285" w:rsidRPr="001D3B8F">
              <w:rPr>
                <w:rFonts w:asciiTheme="minorHAnsi" w:eastAsia="Times New Roman" w:hAnsiTheme="minorHAnsi" w:cstheme="minorHAnsi"/>
                <w:spacing w:val="-2"/>
                <w:kern w:val="16"/>
                <w:position w:val="-2"/>
                <w:sz w:val="20"/>
                <w:szCs w:val="20"/>
                <w:lang w:val="en-US"/>
              </w:rPr>
              <w:t>to increase</w:t>
            </w:r>
            <w:r w:rsidR="001B3A01">
              <w:rPr>
                <w:rFonts w:asciiTheme="minorHAnsi" w:eastAsia="Times New Roman" w:hAnsiTheme="minorHAnsi" w:cstheme="minorHAnsi"/>
                <w:spacing w:val="-2"/>
                <w:kern w:val="16"/>
                <w:position w:val="-2"/>
                <w:sz w:val="20"/>
                <w:szCs w:val="20"/>
                <w:lang w:val="en-US"/>
              </w:rPr>
              <w:t>d</w:t>
            </w:r>
            <w:r w:rsidR="00035285" w:rsidRPr="001D3B8F">
              <w:rPr>
                <w:rFonts w:asciiTheme="minorHAnsi" w:eastAsia="Times New Roman" w:hAnsiTheme="minorHAnsi" w:cstheme="minorHAnsi"/>
                <w:spacing w:val="-2"/>
                <w:kern w:val="16"/>
                <w:position w:val="-2"/>
                <w:sz w:val="20"/>
                <w:szCs w:val="20"/>
                <w:lang w:val="en-US"/>
              </w:rPr>
              <w:t xml:space="preserve"> </w:t>
            </w:r>
            <w:r w:rsidRPr="001D3B8F">
              <w:rPr>
                <w:rFonts w:asciiTheme="minorHAnsi" w:eastAsia="Times New Roman" w:hAnsiTheme="minorHAnsi" w:cstheme="minorHAnsi"/>
                <w:spacing w:val="-2"/>
                <w:kern w:val="16"/>
                <w:position w:val="-2"/>
                <w:sz w:val="20"/>
                <w:szCs w:val="20"/>
                <w:lang w:val="en-US"/>
              </w:rPr>
              <w:t>public a</w:t>
            </w:r>
            <w:r w:rsidR="00035285" w:rsidRPr="001D3B8F">
              <w:rPr>
                <w:rFonts w:asciiTheme="minorHAnsi" w:eastAsia="Times New Roman" w:hAnsiTheme="minorHAnsi" w:cstheme="minorHAnsi"/>
                <w:spacing w:val="-2"/>
                <w:kern w:val="16"/>
                <w:position w:val="-2"/>
                <w:sz w:val="20"/>
                <w:szCs w:val="20"/>
                <w:lang w:val="en-US"/>
              </w:rPr>
              <w:t>wareness on mercury risks in Ghana. (</w:t>
            </w:r>
            <w:hyperlink r:id="rId5" w:history="1">
              <w:r w:rsidR="00035285" w:rsidRPr="001D3B8F">
                <w:rPr>
                  <w:rStyle w:val="Hyperlink"/>
                  <w:rFonts w:asciiTheme="minorHAnsi" w:eastAsia="Times New Roman" w:hAnsiTheme="minorHAnsi" w:cstheme="minorHAnsi"/>
                  <w:spacing w:val="-2"/>
                  <w:kern w:val="16"/>
                  <w:position w:val="-2"/>
                  <w:sz w:val="20"/>
                  <w:szCs w:val="20"/>
                  <w:lang w:val="en-US"/>
                </w:rPr>
                <w:t xml:space="preserve">https://bit.ly/2Ew2wtU ; </w:t>
              </w:r>
              <w:r w:rsidR="00035285" w:rsidRPr="001D3B8F">
                <w:rPr>
                  <w:rStyle w:val="Hyperlink"/>
                  <w:rFonts w:asciiTheme="minorHAnsi" w:hAnsiTheme="minorHAnsi" w:cstheme="minorHAnsi"/>
                  <w:sz w:val="20"/>
                  <w:szCs w:val="20"/>
                </w:rPr>
                <w:t>https://bit.ly/2rM56Ez</w:t>
              </w:r>
            </w:hyperlink>
            <w:r w:rsidR="001D3B8F" w:rsidRPr="001D3B8F">
              <w:rPr>
                <w:rFonts w:asciiTheme="minorHAnsi" w:eastAsia="Times New Roman" w:hAnsiTheme="minorHAnsi" w:cstheme="minorHAnsi"/>
                <w:spacing w:val="-2"/>
                <w:kern w:val="16"/>
                <w:position w:val="-2"/>
                <w:sz w:val="20"/>
                <w:szCs w:val="20"/>
                <w:lang w:val="en-US"/>
              </w:rPr>
              <w:t xml:space="preserve">; </w:t>
            </w:r>
            <w:hyperlink r:id="rId6" w:history="1">
              <w:r w:rsidR="001D3B8F" w:rsidRPr="001D3B8F">
                <w:rPr>
                  <w:rStyle w:val="Hyperlink"/>
                  <w:rFonts w:asciiTheme="minorHAnsi" w:hAnsiTheme="minorHAnsi" w:cstheme="minorHAnsi"/>
                  <w:sz w:val="20"/>
                  <w:szCs w:val="20"/>
                </w:rPr>
                <w:t>https://bit.ly/2R6Kjd0</w:t>
              </w:r>
            </w:hyperlink>
            <w:r w:rsidR="001D3B8F" w:rsidRPr="001D3B8F">
              <w:rPr>
                <w:rFonts w:asciiTheme="minorHAnsi" w:hAnsiTheme="minorHAnsi" w:cstheme="minorHAnsi"/>
                <w:color w:val="A3AAAE"/>
                <w:sz w:val="20"/>
                <w:szCs w:val="20"/>
              </w:rPr>
              <w:t xml:space="preserve"> ;  </w:t>
            </w:r>
            <w:hyperlink r:id="rId7" w:history="1">
              <w:r w:rsidR="001D3B8F" w:rsidRPr="001D3B8F">
                <w:rPr>
                  <w:rStyle w:val="Hyperlink"/>
                  <w:rFonts w:asciiTheme="minorHAnsi" w:hAnsiTheme="minorHAnsi" w:cstheme="minorHAnsi"/>
                  <w:sz w:val="20"/>
                  <w:szCs w:val="20"/>
                </w:rPr>
                <w:t>https://bit.ly/2rKCETc</w:t>
              </w:r>
            </w:hyperlink>
            <w:r w:rsidR="001D3B8F" w:rsidRPr="001D3B8F">
              <w:rPr>
                <w:rFonts w:asciiTheme="minorHAnsi" w:hAnsiTheme="minorHAnsi" w:cstheme="minorHAnsi"/>
                <w:color w:val="A3AAAE"/>
                <w:sz w:val="20"/>
                <w:szCs w:val="20"/>
              </w:rPr>
              <w:t xml:space="preserve"> </w:t>
            </w:r>
            <w:r w:rsidR="001D3B8F">
              <w:rPr>
                <w:rFonts w:asciiTheme="minorHAnsi" w:hAnsiTheme="minorHAnsi" w:cstheme="minorHAnsi"/>
                <w:color w:val="A3AAAE"/>
                <w:sz w:val="20"/>
                <w:szCs w:val="20"/>
              </w:rPr>
              <w:t>)</w:t>
            </w:r>
          </w:p>
        </w:tc>
        <w:tc>
          <w:tcPr>
            <w:tcW w:w="1350" w:type="dxa"/>
            <w:shd w:val="clear" w:color="auto" w:fill="auto"/>
          </w:tcPr>
          <w:p w:rsidR="00802FE0" w:rsidRPr="00CE6FC6" w:rsidRDefault="00802FE0" w:rsidP="005F29CB">
            <w:pPr>
              <w:suppressAutoHyphens/>
              <w:spacing w:after="0" w:line="240" w:lineRule="auto"/>
              <w:jc w:val="left"/>
              <w:rPr>
                <w:rFonts w:asciiTheme="minorHAnsi" w:hAnsiTheme="minorHAnsi" w:cstheme="minorHAnsi"/>
                <w:spacing w:val="-2"/>
                <w:kern w:val="16"/>
                <w:position w:val="-2"/>
                <w:sz w:val="20"/>
                <w:szCs w:val="20"/>
              </w:rPr>
            </w:pPr>
          </w:p>
        </w:tc>
      </w:tr>
      <w:tr w:rsidR="001D31A1" w:rsidRPr="00A9499C" w:rsidTr="001D31A1">
        <w:trPr>
          <w:trHeight w:val="350"/>
        </w:trPr>
        <w:tc>
          <w:tcPr>
            <w:tcW w:w="10345" w:type="dxa"/>
            <w:gridSpan w:val="5"/>
            <w:tcBorders>
              <w:top w:val="single" w:sz="4" w:space="0" w:color="FFFFFF" w:themeColor="background1"/>
            </w:tcBorders>
            <w:shd w:val="clear" w:color="auto" w:fill="D9D9D9" w:themeFill="background1" w:themeFillShade="D9"/>
          </w:tcPr>
          <w:p w:rsidR="001D31A1" w:rsidRPr="00040826"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bookmarkStart w:id="0" w:name="_Hlk533412147"/>
            <w:r w:rsidRPr="00040826">
              <w:rPr>
                <w:rFonts w:eastAsia="Times New Roman" w:cs="Times-Roman"/>
                <w:b/>
                <w:color w:val="003D80"/>
                <w:sz w:val="20"/>
                <w:szCs w:val="20"/>
                <w:lang w:val="en-US" w:eastAsia="en-CA" w:bidi="en-US"/>
              </w:rPr>
              <w:t>Outcome</w:t>
            </w:r>
            <w:r>
              <w:rPr>
                <w:rFonts w:eastAsia="Times New Roman" w:cs="Times-Roman"/>
                <w:b/>
                <w:color w:val="003D80"/>
                <w:sz w:val="20"/>
                <w:szCs w:val="20"/>
                <w:lang w:val="en-US" w:eastAsia="en-CA" w:bidi="en-US"/>
              </w:rPr>
              <w:t xml:space="preserve">: </w:t>
            </w:r>
            <w:r w:rsidRPr="001D31A1">
              <w:rPr>
                <w:rFonts w:asciiTheme="minorHAnsi" w:hAnsiTheme="minorHAnsi" w:cstheme="minorHAnsi"/>
                <w:b/>
                <w:sz w:val="20"/>
                <w:szCs w:val="20"/>
                <w:lang w:val="en-US"/>
              </w:rPr>
              <w:t xml:space="preserve"> National Mercury Profile and Minamata Initial Assessment Report developed</w:t>
            </w:r>
          </w:p>
        </w:tc>
      </w:tr>
      <w:bookmarkEnd w:id="0"/>
      <w:tr w:rsidR="001D31A1" w:rsidRPr="00A9499C" w:rsidTr="00184BD1">
        <w:trPr>
          <w:trHeight w:val="1880"/>
        </w:trPr>
        <w:tc>
          <w:tcPr>
            <w:tcW w:w="2250" w:type="dxa"/>
            <w:shd w:val="clear" w:color="auto" w:fill="auto"/>
          </w:tcPr>
          <w:p w:rsidR="001D31A1" w:rsidRPr="00F63C4D" w:rsidRDefault="001D31A1" w:rsidP="001D31A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eastAsia="Times New Roman" w:hAnsiTheme="minorHAnsi" w:cstheme="minorHAnsi"/>
                <w:sz w:val="20"/>
                <w:szCs w:val="20"/>
                <w:lang w:eastAsia="ar-SA"/>
              </w:rPr>
            </w:pPr>
            <w:r w:rsidRPr="00F63C4D">
              <w:rPr>
                <w:rFonts w:asciiTheme="minorHAnsi" w:eastAsia="Times New Roman" w:hAnsiTheme="minorHAnsi" w:cstheme="minorHAnsi"/>
                <w:sz w:val="20"/>
                <w:szCs w:val="20"/>
                <w:lang w:eastAsia="ar-SA"/>
              </w:rPr>
              <w:t>Mercury inventory conducted, and National Mercury profile prepared</w:t>
            </w:r>
          </w:p>
        </w:tc>
        <w:tc>
          <w:tcPr>
            <w:tcW w:w="1615" w:type="dxa"/>
            <w:shd w:val="clear" w:color="auto" w:fill="auto"/>
          </w:tcPr>
          <w:p w:rsidR="001D31A1" w:rsidRPr="00CE6FC6"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hAnsiTheme="minorHAnsi" w:cstheme="minorHAnsi"/>
                <w:spacing w:val="-2"/>
                <w:kern w:val="16"/>
                <w:position w:val="-2"/>
                <w:sz w:val="20"/>
                <w:szCs w:val="20"/>
                <w:lang w:val="en-US"/>
              </w:rPr>
            </w:pPr>
            <w:r>
              <w:rPr>
                <w:rFonts w:asciiTheme="minorHAnsi" w:hAnsiTheme="minorHAnsi" w:cstheme="minorHAnsi"/>
                <w:spacing w:val="-2"/>
                <w:kern w:val="16"/>
                <w:position w:val="-2"/>
                <w:sz w:val="20"/>
                <w:szCs w:val="20"/>
                <w:lang w:val="en-US"/>
              </w:rPr>
              <w:t>Data on mercury use, use and release source in Ghana collected and summarized in a national mercury profile</w:t>
            </w:r>
          </w:p>
        </w:tc>
        <w:tc>
          <w:tcPr>
            <w:tcW w:w="1800" w:type="dxa"/>
            <w:shd w:val="clear" w:color="auto" w:fill="auto"/>
          </w:tcPr>
          <w:p w:rsidR="001D31A1" w:rsidRPr="00CE6FC6" w:rsidRDefault="001D31A1" w:rsidP="001D31A1">
            <w:pPr>
              <w:suppressAutoHyphens/>
              <w:spacing w:after="0" w:line="240" w:lineRule="auto"/>
              <w:contextualSpacing/>
              <w:jc w:val="left"/>
              <w:rPr>
                <w:rFonts w:asciiTheme="minorHAnsi" w:hAnsiTheme="minorHAnsi" w:cstheme="minorHAnsi"/>
                <w:spacing w:val="-2"/>
                <w:kern w:val="16"/>
                <w:position w:val="-2"/>
                <w:sz w:val="20"/>
                <w:szCs w:val="20"/>
              </w:rPr>
            </w:pPr>
            <w:r>
              <w:rPr>
                <w:rFonts w:asciiTheme="minorHAnsi" w:hAnsiTheme="minorHAnsi" w:cstheme="minorHAnsi"/>
                <w:spacing w:val="-2"/>
                <w:kern w:val="16"/>
                <w:position w:val="-2"/>
                <w:sz w:val="20"/>
                <w:szCs w:val="20"/>
              </w:rPr>
              <w:t xml:space="preserve">Conduct national inventory for the development of national mercury profile. </w:t>
            </w:r>
          </w:p>
        </w:tc>
        <w:tc>
          <w:tcPr>
            <w:tcW w:w="3330" w:type="dxa"/>
            <w:shd w:val="clear" w:color="auto" w:fill="auto"/>
          </w:tcPr>
          <w:p w:rsidR="001D31A1" w:rsidRPr="00CE6FC6" w:rsidRDefault="001D31A1" w:rsidP="001D31A1">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r>
              <w:rPr>
                <w:rFonts w:asciiTheme="minorHAnsi" w:eastAsia="Times New Roman" w:hAnsiTheme="minorHAnsi" w:cstheme="minorHAnsi"/>
                <w:spacing w:val="-2"/>
                <w:kern w:val="16"/>
                <w:position w:val="-2"/>
                <w:sz w:val="20"/>
                <w:szCs w:val="20"/>
                <w:lang w:val="en-US"/>
              </w:rPr>
              <w:t xml:space="preserve">7 Experts conducted a national inventory whose data was used in the development of the national mercury profile (NMP) The NMP has been finalized and incorporated in the Ghana MIA Report as the Chapter 2. It has contributed relevant data and information on mercury use and sources in Ghana and the potential environmental and communities that are at risk of pollution and exposure respectively. </w:t>
            </w:r>
          </w:p>
        </w:tc>
        <w:tc>
          <w:tcPr>
            <w:tcW w:w="1350" w:type="dxa"/>
            <w:shd w:val="clear" w:color="auto" w:fill="auto"/>
          </w:tcPr>
          <w:p w:rsidR="001D31A1" w:rsidRPr="00CE6FC6" w:rsidRDefault="001D31A1" w:rsidP="001D31A1">
            <w:pPr>
              <w:suppressAutoHyphens/>
              <w:spacing w:after="0" w:line="240" w:lineRule="auto"/>
              <w:jc w:val="left"/>
              <w:rPr>
                <w:rFonts w:asciiTheme="minorHAnsi" w:hAnsiTheme="minorHAnsi" w:cstheme="minorHAnsi"/>
                <w:spacing w:val="-2"/>
                <w:kern w:val="16"/>
                <w:position w:val="-2"/>
                <w:sz w:val="20"/>
                <w:szCs w:val="20"/>
              </w:rPr>
            </w:pPr>
          </w:p>
        </w:tc>
      </w:tr>
      <w:tr w:rsidR="001D31A1" w:rsidRPr="00A9499C" w:rsidTr="00184BD1">
        <w:trPr>
          <w:trHeight w:val="1880"/>
        </w:trPr>
        <w:tc>
          <w:tcPr>
            <w:tcW w:w="2250" w:type="dxa"/>
            <w:shd w:val="clear" w:color="auto" w:fill="auto"/>
          </w:tcPr>
          <w:p w:rsidR="001D31A1" w:rsidRPr="00F63C4D" w:rsidRDefault="001D31A1" w:rsidP="001D31A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63C4D">
              <w:rPr>
                <w:rFonts w:eastAsia="Times New Roman"/>
                <w:sz w:val="20"/>
                <w:szCs w:val="20"/>
                <w:lang w:eastAsia="ar-SA"/>
              </w:rPr>
              <w:t>National MIA Report prepared.</w:t>
            </w:r>
          </w:p>
        </w:tc>
        <w:tc>
          <w:tcPr>
            <w:tcW w:w="1615" w:type="dxa"/>
            <w:shd w:val="clear" w:color="auto" w:fill="auto"/>
          </w:tcPr>
          <w:p w:rsidR="001D31A1" w:rsidRPr="005F29CB"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Pr>
                <w:spacing w:val="-2"/>
                <w:kern w:val="16"/>
                <w:position w:val="-2"/>
                <w:sz w:val="20"/>
                <w:szCs w:val="20"/>
                <w:lang w:val="en-US"/>
              </w:rPr>
              <w:t>Ghana MIA Report launched</w:t>
            </w:r>
          </w:p>
        </w:tc>
        <w:tc>
          <w:tcPr>
            <w:tcW w:w="1800" w:type="dxa"/>
            <w:shd w:val="clear" w:color="auto" w:fill="auto"/>
          </w:tcPr>
          <w:p w:rsidR="001D31A1" w:rsidRPr="005F29CB" w:rsidRDefault="001D31A1" w:rsidP="001D31A1">
            <w:pPr>
              <w:suppressAutoHyphens/>
              <w:spacing w:after="0" w:line="240" w:lineRule="auto"/>
              <w:contextualSpacing/>
              <w:jc w:val="left"/>
              <w:rPr>
                <w:spacing w:val="-2"/>
                <w:kern w:val="16"/>
                <w:position w:val="-2"/>
                <w:sz w:val="20"/>
                <w:szCs w:val="20"/>
              </w:rPr>
            </w:pPr>
            <w:r>
              <w:rPr>
                <w:spacing w:val="-2"/>
                <w:kern w:val="16"/>
                <w:position w:val="-2"/>
                <w:sz w:val="20"/>
                <w:szCs w:val="20"/>
              </w:rPr>
              <w:t>Finalize and Launch Ghana MIA Report</w:t>
            </w:r>
          </w:p>
        </w:tc>
        <w:tc>
          <w:tcPr>
            <w:tcW w:w="3330" w:type="dxa"/>
            <w:shd w:val="clear" w:color="auto" w:fill="auto"/>
          </w:tcPr>
          <w:p w:rsidR="001D31A1" w:rsidRDefault="001D31A1" w:rsidP="001D31A1">
            <w:pPr>
              <w:suppressAutoHyphens/>
              <w:spacing w:before="240"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The report has been prepared and launched on 28 August 2018. (</w:t>
            </w:r>
            <w:hyperlink r:id="rId8" w:history="1">
              <w:r w:rsidRPr="00FD6996">
                <w:rPr>
                  <w:rStyle w:val="Hyperlink"/>
                  <w:rFonts w:eastAsia="Times New Roman"/>
                  <w:spacing w:val="-2"/>
                  <w:kern w:val="16"/>
                  <w:position w:val="-2"/>
                  <w:sz w:val="20"/>
                  <w:szCs w:val="20"/>
                  <w:lang w:val="en-US"/>
                </w:rPr>
                <w:t>https://bit.ly/2Ew2wtU</w:t>
              </w:r>
            </w:hyperlink>
            <w:r>
              <w:rPr>
                <w:rFonts w:eastAsia="Times New Roman"/>
                <w:spacing w:val="-2"/>
                <w:kern w:val="16"/>
                <w:position w:val="-2"/>
                <w:sz w:val="20"/>
                <w:szCs w:val="20"/>
                <w:lang w:val="en-US"/>
              </w:rPr>
              <w:t xml:space="preserve">). For the first time, Ghana has a comprehensive document that provides information on mercury use and sources, populations at risk and a roadmap for mainstreaming the Minamata Convention in Ghana. </w:t>
            </w:r>
          </w:p>
          <w:p w:rsidR="001D31A1" w:rsidRDefault="001D31A1" w:rsidP="001D31A1">
            <w:pPr>
              <w:suppressAutoHyphens/>
              <w:spacing w:before="240" w:after="0" w:line="240" w:lineRule="auto"/>
              <w:contextualSpacing/>
              <w:jc w:val="left"/>
              <w:rPr>
                <w:rFonts w:eastAsia="Times New Roman"/>
                <w:spacing w:val="-2"/>
                <w:kern w:val="16"/>
                <w:position w:val="-2"/>
                <w:sz w:val="20"/>
                <w:szCs w:val="20"/>
                <w:lang w:val="en-US"/>
              </w:rPr>
            </w:pPr>
          </w:p>
          <w:p w:rsidR="001D31A1" w:rsidRPr="005F29CB" w:rsidRDefault="001D31A1" w:rsidP="001D31A1">
            <w:pPr>
              <w:suppressAutoHyphens/>
              <w:spacing w:before="240"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At the upstream level, it has provided relevant data for policy making and institutional strengthening for the effective mainstreaming of the Minamata Convention in Ghana. At the community and individual level, it informs the constituents on the best choices to make in the manufacture/sale/use of products to eliminate their risks to mercury exposure to protect their health and the environment. </w:t>
            </w:r>
          </w:p>
        </w:tc>
        <w:tc>
          <w:tcPr>
            <w:tcW w:w="1350" w:type="dxa"/>
            <w:shd w:val="clear" w:color="auto" w:fill="auto"/>
          </w:tcPr>
          <w:p w:rsidR="001D31A1" w:rsidRPr="005F29CB" w:rsidRDefault="001D31A1" w:rsidP="001D31A1">
            <w:pPr>
              <w:suppressAutoHyphens/>
              <w:spacing w:after="0" w:line="240" w:lineRule="auto"/>
              <w:jc w:val="left"/>
              <w:rPr>
                <w:spacing w:val="-2"/>
                <w:kern w:val="16"/>
                <w:position w:val="-2"/>
                <w:sz w:val="20"/>
                <w:szCs w:val="20"/>
              </w:rPr>
            </w:pPr>
          </w:p>
        </w:tc>
      </w:tr>
      <w:tr w:rsidR="001D31A1" w:rsidRPr="00A9499C" w:rsidTr="00B66892">
        <w:trPr>
          <w:trHeight w:val="350"/>
        </w:trPr>
        <w:tc>
          <w:tcPr>
            <w:tcW w:w="10345" w:type="dxa"/>
            <w:gridSpan w:val="5"/>
            <w:tcBorders>
              <w:top w:val="single" w:sz="4" w:space="0" w:color="FFFFFF" w:themeColor="background1"/>
            </w:tcBorders>
            <w:shd w:val="clear" w:color="auto" w:fill="D9D9D9" w:themeFill="background1" w:themeFillShade="D9"/>
          </w:tcPr>
          <w:p w:rsidR="001D31A1" w:rsidRPr="00040826"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r w:rsidRPr="00040826">
              <w:rPr>
                <w:rFonts w:eastAsia="Times New Roman" w:cs="Times-Roman"/>
                <w:b/>
                <w:color w:val="003D80"/>
                <w:sz w:val="20"/>
                <w:szCs w:val="20"/>
                <w:lang w:val="en-US" w:eastAsia="en-CA" w:bidi="en-US"/>
              </w:rPr>
              <w:t>Outcome</w:t>
            </w:r>
            <w:r>
              <w:rPr>
                <w:rFonts w:eastAsia="Times New Roman" w:cs="Times-Roman"/>
                <w:b/>
                <w:color w:val="003D80"/>
                <w:sz w:val="20"/>
                <w:szCs w:val="20"/>
                <w:lang w:val="en-US" w:eastAsia="en-CA" w:bidi="en-US"/>
              </w:rPr>
              <w:t xml:space="preserve">: </w:t>
            </w:r>
            <w:r w:rsidRPr="001D31A1">
              <w:rPr>
                <w:rFonts w:asciiTheme="minorHAnsi" w:hAnsiTheme="minorHAnsi" w:cstheme="minorHAnsi"/>
                <w:b/>
                <w:sz w:val="20"/>
                <w:szCs w:val="20"/>
                <w:lang w:val="en-US"/>
              </w:rPr>
              <w:t xml:space="preserve"> </w:t>
            </w:r>
            <w:r>
              <w:t xml:space="preserve"> </w:t>
            </w:r>
            <w:r w:rsidRPr="001D31A1">
              <w:rPr>
                <w:rFonts w:asciiTheme="minorHAnsi" w:hAnsiTheme="minorHAnsi" w:cstheme="minorHAnsi"/>
                <w:b/>
                <w:sz w:val="20"/>
                <w:szCs w:val="20"/>
                <w:lang w:val="en-US"/>
              </w:rPr>
              <w:t>Monitoring and Evaluation effectively carried out.</w:t>
            </w:r>
          </w:p>
        </w:tc>
      </w:tr>
      <w:tr w:rsidR="001D31A1" w:rsidRPr="00A9499C" w:rsidTr="00184BD1">
        <w:trPr>
          <w:trHeight w:val="1520"/>
        </w:trPr>
        <w:tc>
          <w:tcPr>
            <w:tcW w:w="2250" w:type="dxa"/>
            <w:shd w:val="clear" w:color="auto" w:fill="auto"/>
          </w:tcPr>
          <w:p w:rsidR="001D31A1" w:rsidRPr="00F63C4D" w:rsidRDefault="001D31A1" w:rsidP="001D31A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63C4D">
              <w:rPr>
                <w:rFonts w:eastAsia="Times New Roman"/>
                <w:sz w:val="20"/>
                <w:szCs w:val="20"/>
                <w:lang w:eastAsia="ar-SA"/>
              </w:rPr>
              <w:t xml:space="preserve">Monitoring and Evaluation effectively carried </w:t>
            </w:r>
          </w:p>
          <w:p w:rsidR="001D31A1" w:rsidRPr="00716540" w:rsidRDefault="001D31A1" w:rsidP="001D31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left"/>
              <w:rPr>
                <w:rFonts w:eastAsia="Times New Roman"/>
                <w:b/>
                <w:sz w:val="20"/>
                <w:szCs w:val="20"/>
                <w:lang w:eastAsia="ar-SA"/>
              </w:rPr>
            </w:pPr>
            <w:r w:rsidRPr="00F63C4D">
              <w:rPr>
                <w:rFonts w:eastAsia="Times New Roman"/>
                <w:sz w:val="20"/>
                <w:szCs w:val="20"/>
                <w:lang w:eastAsia="ar-SA"/>
              </w:rPr>
              <w:t>out.</w:t>
            </w:r>
          </w:p>
        </w:tc>
        <w:tc>
          <w:tcPr>
            <w:tcW w:w="1615" w:type="dxa"/>
            <w:shd w:val="clear" w:color="auto" w:fill="auto"/>
          </w:tcPr>
          <w:p w:rsidR="001D31A1" w:rsidRPr="005F29CB"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Pr>
                <w:spacing w:val="-2"/>
                <w:kern w:val="16"/>
                <w:position w:val="-2"/>
                <w:sz w:val="20"/>
                <w:szCs w:val="20"/>
                <w:lang w:val="en-US"/>
              </w:rPr>
              <w:t>MIA Project Audited</w:t>
            </w:r>
          </w:p>
        </w:tc>
        <w:tc>
          <w:tcPr>
            <w:tcW w:w="1800" w:type="dxa"/>
            <w:shd w:val="clear" w:color="auto" w:fill="auto"/>
          </w:tcPr>
          <w:p w:rsidR="001D31A1" w:rsidRPr="005F29CB" w:rsidRDefault="001D31A1" w:rsidP="001D31A1">
            <w:pPr>
              <w:suppressAutoHyphens/>
              <w:spacing w:after="0" w:line="240" w:lineRule="auto"/>
              <w:contextualSpacing/>
              <w:jc w:val="left"/>
              <w:rPr>
                <w:spacing w:val="-2"/>
                <w:kern w:val="16"/>
                <w:position w:val="-2"/>
                <w:sz w:val="20"/>
                <w:szCs w:val="20"/>
              </w:rPr>
            </w:pPr>
            <w:r>
              <w:rPr>
                <w:spacing w:val="-2"/>
                <w:kern w:val="16"/>
                <w:position w:val="-2"/>
                <w:sz w:val="20"/>
                <w:szCs w:val="20"/>
              </w:rPr>
              <w:t xml:space="preserve">Undertake one external Audit of project’s management. </w:t>
            </w:r>
          </w:p>
        </w:tc>
        <w:tc>
          <w:tcPr>
            <w:tcW w:w="3330" w:type="dxa"/>
            <w:shd w:val="clear" w:color="auto" w:fill="auto"/>
          </w:tcPr>
          <w:p w:rsidR="001D31A1" w:rsidRPr="005F29CB" w:rsidRDefault="001D31A1" w:rsidP="001D31A1">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An audit was undertaken by KPMG in March 2018 on the financial manage</w:t>
            </w:r>
            <w:bookmarkStart w:id="1" w:name="_GoBack"/>
            <w:bookmarkEnd w:id="1"/>
            <w:r>
              <w:rPr>
                <w:rFonts w:eastAsia="Times New Roman"/>
                <w:spacing w:val="-2"/>
                <w:kern w:val="16"/>
                <w:position w:val="-2"/>
                <w:sz w:val="20"/>
                <w:szCs w:val="20"/>
                <w:lang w:val="en-US"/>
              </w:rPr>
              <w:t xml:space="preserve">ment of the project. </w:t>
            </w:r>
          </w:p>
        </w:tc>
        <w:tc>
          <w:tcPr>
            <w:tcW w:w="1350" w:type="dxa"/>
            <w:shd w:val="clear" w:color="auto" w:fill="auto"/>
          </w:tcPr>
          <w:p w:rsidR="001D31A1" w:rsidRPr="005F29CB" w:rsidRDefault="001D31A1" w:rsidP="001D31A1">
            <w:pPr>
              <w:suppressAutoHyphens/>
              <w:spacing w:after="0" w:line="240" w:lineRule="auto"/>
              <w:jc w:val="left"/>
              <w:rPr>
                <w:spacing w:val="-2"/>
                <w:kern w:val="16"/>
                <w:position w:val="-2"/>
                <w:sz w:val="20"/>
                <w:szCs w:val="20"/>
              </w:rPr>
            </w:pPr>
          </w:p>
        </w:tc>
      </w:tr>
      <w:tr w:rsidR="001D31A1" w:rsidRPr="00A9499C" w:rsidTr="003E496C">
        <w:trPr>
          <w:trHeight w:val="540"/>
        </w:trPr>
        <w:tc>
          <w:tcPr>
            <w:tcW w:w="10345" w:type="dxa"/>
            <w:gridSpan w:val="5"/>
            <w:tcBorders>
              <w:bottom w:val="single" w:sz="4" w:space="0" w:color="auto"/>
            </w:tcBorders>
            <w:shd w:val="clear" w:color="auto" w:fill="D9D9D9" w:themeFill="background1" w:themeFillShade="D9"/>
          </w:tcPr>
          <w:p w:rsidR="001D31A1" w:rsidRPr="000D1FD0" w:rsidRDefault="001D31A1" w:rsidP="001D3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b/>
                <w:color w:val="003D80"/>
                <w:sz w:val="20"/>
                <w:szCs w:val="24"/>
                <w:lang w:val="en-US" w:bidi="en-US"/>
              </w:rPr>
            </w:pPr>
            <w:r>
              <w:rPr>
                <w:rFonts w:eastAsia="Times New Roman" w:cs="Helvetica"/>
                <w:b/>
                <w:color w:val="003D80"/>
                <w:sz w:val="20"/>
                <w:szCs w:val="24"/>
                <w:lang w:val="en-US" w:bidi="en-US"/>
              </w:rPr>
              <w:t xml:space="preserve">GENDER SPECIFIC RESULTS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w:t>
            </w:r>
            <w:r>
              <w:rPr>
                <w:rFonts w:eastAsia="Times New Roman" w:cs="Helvetica"/>
                <w:i/>
                <w:sz w:val="20"/>
                <w:szCs w:val="24"/>
                <w:lang w:val="en-US" w:bidi="en-US"/>
              </w:rPr>
              <w:t>report specific gender disaggregated results</w:t>
            </w:r>
            <w:r w:rsidRPr="00CC2D87">
              <w:rPr>
                <w:rFonts w:eastAsia="Times New Roman" w:cs="Helvetica"/>
                <w:i/>
                <w:color w:val="141413"/>
                <w:sz w:val="20"/>
                <w:szCs w:val="20"/>
                <w:lang w:val="en-US" w:bidi="en-US"/>
              </w:rPr>
              <w:t>]</w:t>
            </w:r>
          </w:p>
        </w:tc>
      </w:tr>
      <w:tr w:rsidR="001D31A1" w:rsidRPr="00A9499C" w:rsidTr="003E496C">
        <w:trPr>
          <w:trHeight w:val="540"/>
        </w:trPr>
        <w:tc>
          <w:tcPr>
            <w:tcW w:w="10345" w:type="dxa"/>
            <w:gridSpan w:val="5"/>
            <w:tcBorders>
              <w:top w:val="single" w:sz="4" w:space="0" w:color="auto"/>
              <w:bottom w:val="single" w:sz="4" w:space="0" w:color="auto"/>
            </w:tcBorders>
            <w:shd w:val="clear" w:color="auto" w:fill="auto"/>
          </w:tcPr>
          <w:p w:rsidR="001D31A1"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color w:val="003D80"/>
                <w:sz w:val="20"/>
                <w:szCs w:val="24"/>
                <w:lang w:val="en-US" w:bidi="en-US"/>
              </w:rPr>
            </w:pPr>
            <w:r w:rsidRPr="00F63C4D">
              <w:rPr>
                <w:rFonts w:eastAsia="Times New Roman" w:cs="Helvetica"/>
                <w:b/>
                <w:color w:val="000000" w:themeColor="text1"/>
                <w:sz w:val="20"/>
                <w:szCs w:val="24"/>
                <w:lang w:val="en-US" w:bidi="en-US"/>
              </w:rPr>
              <w:lastRenderedPageBreak/>
              <w:t>Participation</w:t>
            </w:r>
            <w:r>
              <w:rPr>
                <w:rFonts w:eastAsia="Times New Roman" w:cs="Helvetica"/>
                <w:b/>
                <w:color w:val="003D80"/>
                <w:sz w:val="20"/>
                <w:szCs w:val="24"/>
                <w:lang w:val="en-US" w:bidi="en-US"/>
              </w:rPr>
              <w:t xml:space="preserve">:  </w:t>
            </w:r>
            <w:r w:rsidRPr="00736A0C">
              <w:rPr>
                <w:rFonts w:eastAsia="Times New Roman" w:cs="Helvetica"/>
                <w:color w:val="000000" w:themeColor="text1"/>
                <w:sz w:val="20"/>
                <w:szCs w:val="24"/>
                <w:lang w:val="en-US" w:bidi="en-US"/>
              </w:rPr>
              <w:t>There was a representation of men and women in all the meetings organized by the project</w:t>
            </w:r>
            <w:r>
              <w:rPr>
                <w:rFonts w:eastAsia="Times New Roman" w:cs="Helvetica"/>
                <w:color w:val="000000" w:themeColor="text1"/>
                <w:sz w:val="20"/>
                <w:szCs w:val="24"/>
                <w:lang w:val="en-US" w:bidi="en-US"/>
              </w:rPr>
              <w:t xml:space="preserve">: </w:t>
            </w:r>
            <w:r w:rsidRPr="00736A0C">
              <w:rPr>
                <w:rFonts w:eastAsia="Times New Roman" w:cs="Helvetica"/>
                <w:color w:val="000000" w:themeColor="text1"/>
                <w:sz w:val="20"/>
                <w:szCs w:val="24"/>
                <w:lang w:val="en-US" w:bidi="en-US"/>
              </w:rPr>
              <w:t>Valid</w:t>
            </w:r>
            <w:r>
              <w:rPr>
                <w:rFonts w:eastAsia="Times New Roman" w:cs="Helvetica"/>
                <w:color w:val="000000" w:themeColor="text1"/>
                <w:sz w:val="20"/>
                <w:szCs w:val="24"/>
                <w:lang w:val="en-US" w:bidi="en-US"/>
              </w:rPr>
              <w:t>ation workshop (20 men 7 women)</w:t>
            </w:r>
            <w:r w:rsidRPr="00736A0C">
              <w:rPr>
                <w:rFonts w:eastAsia="Times New Roman" w:cs="Helvetica"/>
                <w:color w:val="000000" w:themeColor="text1"/>
                <w:sz w:val="20"/>
                <w:szCs w:val="24"/>
                <w:lang w:val="en-US" w:bidi="en-US"/>
              </w:rPr>
              <w:t xml:space="preserve">; Launching </w:t>
            </w:r>
            <w:r>
              <w:rPr>
                <w:rFonts w:eastAsia="Times New Roman" w:cs="Helvetica"/>
                <w:color w:val="000000" w:themeColor="text1"/>
                <w:sz w:val="20"/>
                <w:szCs w:val="24"/>
                <w:lang w:val="en-US" w:bidi="en-US"/>
              </w:rPr>
              <w:t>of MIA Report (</w:t>
            </w:r>
            <w:r w:rsidRPr="00736A0C">
              <w:rPr>
                <w:rFonts w:eastAsia="Times New Roman" w:cs="Helvetica"/>
                <w:color w:val="000000" w:themeColor="text1"/>
                <w:sz w:val="20"/>
                <w:szCs w:val="24"/>
                <w:lang w:val="en-US" w:bidi="en-US"/>
              </w:rPr>
              <w:t>10 women 25men</w:t>
            </w:r>
            <w:r>
              <w:rPr>
                <w:rFonts w:eastAsia="Times New Roman" w:cs="Helvetica"/>
                <w:color w:val="000000" w:themeColor="text1"/>
                <w:sz w:val="20"/>
                <w:szCs w:val="24"/>
                <w:lang w:val="en-US" w:bidi="en-US"/>
              </w:rPr>
              <w:t>)</w:t>
            </w:r>
            <w:r w:rsidRPr="00736A0C">
              <w:rPr>
                <w:rFonts w:eastAsia="Times New Roman" w:cs="Helvetica"/>
                <w:color w:val="000000" w:themeColor="text1"/>
                <w:sz w:val="20"/>
                <w:szCs w:val="24"/>
                <w:lang w:val="en-US" w:bidi="en-US"/>
              </w:rPr>
              <w:t>; COP</w:t>
            </w:r>
            <w:r>
              <w:rPr>
                <w:rFonts w:eastAsia="Times New Roman" w:cs="Helvetica"/>
                <w:color w:val="000000" w:themeColor="text1"/>
                <w:sz w:val="20"/>
                <w:szCs w:val="24"/>
                <w:lang w:val="en-US" w:bidi="en-US"/>
              </w:rPr>
              <w:t>2 preparatory meeting</w:t>
            </w:r>
            <w:r w:rsidRPr="00736A0C">
              <w:rPr>
                <w:rFonts w:eastAsia="Times New Roman" w:cs="Helvetica"/>
                <w:color w:val="000000" w:themeColor="text1"/>
                <w:sz w:val="20"/>
                <w:szCs w:val="24"/>
                <w:lang w:val="en-US" w:bidi="en-US"/>
              </w:rPr>
              <w:t xml:space="preserve"> (20 men 10 women). Both men and women were from middle to high level positions in the various institutions they represented</w:t>
            </w:r>
            <w:r>
              <w:rPr>
                <w:rFonts w:eastAsia="Times New Roman" w:cs="Helvetica"/>
                <w:color w:val="000000" w:themeColor="text1"/>
                <w:sz w:val="20"/>
                <w:szCs w:val="24"/>
                <w:lang w:val="en-US" w:bidi="en-US"/>
              </w:rPr>
              <w:t>,</w:t>
            </w:r>
            <w:r w:rsidRPr="00736A0C">
              <w:rPr>
                <w:rFonts w:eastAsia="Times New Roman" w:cs="Helvetica"/>
                <w:color w:val="000000" w:themeColor="text1"/>
                <w:sz w:val="20"/>
                <w:szCs w:val="24"/>
                <w:lang w:val="en-US" w:bidi="en-US"/>
              </w:rPr>
              <w:t xml:space="preserve"> and </w:t>
            </w:r>
            <w:proofErr w:type="gramStart"/>
            <w:r w:rsidRPr="00736A0C">
              <w:rPr>
                <w:rFonts w:eastAsia="Times New Roman" w:cs="Helvetica"/>
                <w:color w:val="000000" w:themeColor="text1"/>
                <w:sz w:val="20"/>
                <w:szCs w:val="24"/>
                <w:lang w:val="en-US" w:bidi="en-US"/>
              </w:rPr>
              <w:t>at all time</w:t>
            </w:r>
            <w:r>
              <w:rPr>
                <w:rFonts w:eastAsia="Times New Roman" w:cs="Helvetica"/>
                <w:color w:val="000000" w:themeColor="text1"/>
                <w:sz w:val="20"/>
                <w:szCs w:val="24"/>
                <w:lang w:val="en-US" w:bidi="en-US"/>
              </w:rPr>
              <w:t>s</w:t>
            </w:r>
            <w:proofErr w:type="gramEnd"/>
            <w:r w:rsidRPr="00736A0C">
              <w:rPr>
                <w:rFonts w:eastAsia="Times New Roman" w:cs="Helvetica"/>
                <w:color w:val="000000" w:themeColor="text1"/>
                <w:sz w:val="20"/>
                <w:szCs w:val="24"/>
                <w:lang w:val="en-US" w:bidi="en-US"/>
              </w:rPr>
              <w:t xml:space="preserve"> had the opportunities to make contributions representing the needs of the institutions, vulnerable communities</w:t>
            </w:r>
            <w:r>
              <w:rPr>
                <w:rFonts w:eastAsia="Times New Roman" w:cs="Helvetica"/>
                <w:color w:val="000000" w:themeColor="text1"/>
                <w:sz w:val="20"/>
                <w:szCs w:val="24"/>
                <w:lang w:val="en-US" w:bidi="en-US"/>
              </w:rPr>
              <w:t xml:space="preserve"> for whom they serve</w:t>
            </w:r>
            <w:r w:rsidRPr="00736A0C">
              <w:rPr>
                <w:rFonts w:eastAsia="Times New Roman" w:cs="Helvetica"/>
                <w:color w:val="000000" w:themeColor="text1"/>
                <w:sz w:val="20"/>
                <w:szCs w:val="24"/>
                <w:lang w:val="en-US" w:bidi="en-US"/>
              </w:rPr>
              <w:t xml:space="preserve"> and their gender.</w:t>
            </w:r>
            <w:r w:rsidRPr="00736A0C">
              <w:rPr>
                <w:rFonts w:eastAsia="Times New Roman" w:cs="Helvetica"/>
                <w:b/>
                <w:color w:val="000000" w:themeColor="text1"/>
                <w:sz w:val="20"/>
                <w:szCs w:val="24"/>
                <w:lang w:val="en-US" w:bidi="en-US"/>
              </w:rPr>
              <w:t xml:space="preserve"> </w:t>
            </w:r>
          </w:p>
          <w:p w:rsidR="001D31A1"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b/>
                <w:color w:val="003D80"/>
                <w:sz w:val="20"/>
                <w:szCs w:val="24"/>
                <w:lang w:val="en-US" w:bidi="en-US"/>
              </w:rPr>
            </w:pPr>
          </w:p>
          <w:p w:rsidR="001D31A1"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color w:val="003D80"/>
                <w:sz w:val="20"/>
                <w:szCs w:val="24"/>
                <w:lang w:val="en-US" w:bidi="en-US"/>
              </w:rPr>
            </w:pPr>
            <w:r w:rsidRPr="00F63C4D">
              <w:rPr>
                <w:rFonts w:eastAsia="Times New Roman" w:cs="Helvetica"/>
                <w:b/>
                <w:color w:val="000000" w:themeColor="text1"/>
                <w:sz w:val="20"/>
                <w:szCs w:val="24"/>
                <w:lang w:val="en-US" w:bidi="en-US"/>
              </w:rPr>
              <w:t xml:space="preserve">Empowerment: </w:t>
            </w:r>
            <w:r w:rsidRPr="000A3E61">
              <w:rPr>
                <w:rFonts w:eastAsia="Times New Roman" w:cs="Helvetica"/>
                <w:color w:val="000000" w:themeColor="text1"/>
                <w:sz w:val="20"/>
                <w:szCs w:val="24"/>
                <w:lang w:val="en-US" w:bidi="en-US"/>
              </w:rPr>
              <w:t>The activities of the project and information shared has empowered both men and women with i</w:t>
            </w:r>
            <w:r>
              <w:rPr>
                <w:rFonts w:eastAsia="Times New Roman" w:cs="Helvetica"/>
                <w:color w:val="000000" w:themeColor="text1"/>
                <w:sz w:val="20"/>
                <w:szCs w:val="24"/>
                <w:lang w:val="en-US" w:bidi="en-US"/>
              </w:rPr>
              <w:t>deas on how best to protect themselves</w:t>
            </w:r>
            <w:r w:rsidRPr="000A3E61">
              <w:rPr>
                <w:rFonts w:eastAsia="Times New Roman" w:cs="Helvetica"/>
                <w:color w:val="000000" w:themeColor="text1"/>
                <w:sz w:val="20"/>
                <w:szCs w:val="24"/>
                <w:lang w:val="en-US" w:bidi="en-US"/>
              </w:rPr>
              <w:t xml:space="preserve"> from mercury exposure. </w:t>
            </w:r>
            <w:r>
              <w:rPr>
                <w:rFonts w:eastAsia="Times New Roman" w:cs="Helvetica"/>
                <w:color w:val="000000" w:themeColor="text1"/>
                <w:sz w:val="20"/>
                <w:szCs w:val="24"/>
                <w:lang w:val="en-US" w:bidi="en-US"/>
              </w:rPr>
              <w:t>Furthermore, t</w:t>
            </w:r>
            <w:r w:rsidRPr="000A3E61">
              <w:rPr>
                <w:rFonts w:eastAsia="Times New Roman" w:cs="Helvetica"/>
                <w:color w:val="000000" w:themeColor="text1"/>
                <w:sz w:val="20"/>
                <w:szCs w:val="24"/>
                <w:lang w:val="en-US" w:bidi="en-US"/>
              </w:rPr>
              <w:t xml:space="preserve">he </w:t>
            </w:r>
            <w:r w:rsidRPr="00736A0C">
              <w:rPr>
                <w:rFonts w:eastAsia="Times New Roman" w:cs="Helvetica"/>
                <w:color w:val="000000" w:themeColor="text1"/>
                <w:sz w:val="20"/>
                <w:szCs w:val="24"/>
                <w:lang w:val="en-US" w:bidi="en-US"/>
              </w:rPr>
              <w:t>MIA Report</w:t>
            </w:r>
            <w:r>
              <w:rPr>
                <w:rFonts w:eastAsia="Times New Roman" w:cs="Helvetica"/>
                <w:color w:val="000000" w:themeColor="text1"/>
                <w:sz w:val="20"/>
                <w:szCs w:val="24"/>
                <w:lang w:val="en-US" w:bidi="en-US"/>
              </w:rPr>
              <w:t xml:space="preserve"> which </w:t>
            </w:r>
            <w:r w:rsidRPr="00736A0C">
              <w:rPr>
                <w:rFonts w:eastAsia="Times New Roman" w:cs="Helvetica"/>
                <w:color w:val="000000" w:themeColor="text1"/>
                <w:sz w:val="20"/>
                <w:szCs w:val="24"/>
                <w:lang w:val="en-US" w:bidi="en-US"/>
              </w:rPr>
              <w:t xml:space="preserve">identifies women and children as the most </w:t>
            </w:r>
            <w:r>
              <w:rPr>
                <w:rFonts w:eastAsia="Times New Roman" w:cs="Helvetica"/>
                <w:color w:val="000000" w:themeColor="text1"/>
                <w:sz w:val="20"/>
                <w:szCs w:val="24"/>
                <w:lang w:val="en-US" w:bidi="en-US"/>
              </w:rPr>
              <w:t xml:space="preserve">at risk to mercury exposure has recommended </w:t>
            </w:r>
            <w:r w:rsidRPr="00736A0C">
              <w:rPr>
                <w:rFonts w:eastAsia="Times New Roman" w:cs="Helvetica"/>
                <w:color w:val="000000" w:themeColor="text1"/>
                <w:sz w:val="20"/>
                <w:szCs w:val="24"/>
                <w:lang w:val="en-US" w:bidi="en-US"/>
              </w:rPr>
              <w:t xml:space="preserve">specific trainings and education to empower these groups with information on how to prevent / eliminate exposure to mercury risks to protect their health. </w:t>
            </w:r>
          </w:p>
          <w:p w:rsidR="001D31A1" w:rsidRPr="000D1FD0"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tc>
      </w:tr>
      <w:tr w:rsidR="001D31A1" w:rsidRPr="00A9499C" w:rsidTr="00D33512">
        <w:trPr>
          <w:trHeight w:val="540"/>
        </w:trPr>
        <w:tc>
          <w:tcPr>
            <w:tcW w:w="10345" w:type="dxa"/>
            <w:gridSpan w:val="5"/>
            <w:tcBorders>
              <w:top w:val="single" w:sz="4" w:space="0" w:color="auto"/>
              <w:bottom w:val="single" w:sz="4" w:space="0" w:color="FFFFFF" w:themeColor="background1"/>
            </w:tcBorders>
            <w:shd w:val="clear" w:color="auto" w:fill="D9D9D9" w:themeFill="background1" w:themeFillShade="D9"/>
          </w:tcPr>
          <w:p w:rsidR="001D31A1" w:rsidRPr="00DA638E" w:rsidRDefault="001D31A1" w:rsidP="001D3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PROJECT IMPLEMENTATION CHALLENGES</w:t>
            </w:r>
            <w:r>
              <w:rPr>
                <w:rFonts w:eastAsia="Times New Roman" w:cs="Helvetica"/>
                <w:color w:val="003D80"/>
                <w:sz w:val="20"/>
                <w:szCs w:val="24"/>
                <w:lang w:val="en-US" w:bidi="en-US"/>
              </w:rPr>
              <w:t xml:space="preserve"> </w:t>
            </w:r>
            <w:r w:rsidRPr="00374EC0">
              <w:rPr>
                <w:rFonts w:eastAsia="Times New Roman" w:cs="Helvetica"/>
                <w:i/>
                <w:color w:val="141413"/>
                <w:sz w:val="20"/>
                <w:szCs w:val="20"/>
                <w:lang w:val="en-US" w:bidi="en-US"/>
              </w:rPr>
              <w:t>[</w:t>
            </w:r>
            <w:r w:rsidRPr="00CC2D87">
              <w:rPr>
                <w:rFonts w:eastAsia="Times New Roman" w:cs="Helvetica"/>
                <w:i/>
                <w:color w:val="141413"/>
                <w:sz w:val="20"/>
                <w:szCs w:val="20"/>
                <w:lang w:val="en-US" w:bidi="en-US"/>
              </w:rPr>
              <w:t>Observed or experienced challenges that are generic, related of</w:t>
            </w:r>
            <w:r>
              <w:rPr>
                <w:rFonts w:eastAsia="Times New Roman" w:cs="Helvetica"/>
                <w:i/>
                <w:color w:val="141413"/>
                <w:sz w:val="20"/>
                <w:szCs w:val="20"/>
                <w:lang w:val="en-US" w:bidi="en-US"/>
              </w:rPr>
              <w:t xml:space="preserve"> not related to any spe</w:t>
            </w:r>
            <w:r w:rsidRPr="00CC2D87">
              <w:rPr>
                <w:rFonts w:eastAsia="Times New Roman" w:cs="Helvetica"/>
                <w:i/>
                <w:color w:val="141413"/>
                <w:sz w:val="20"/>
                <w:szCs w:val="20"/>
                <w:lang w:val="en-US" w:bidi="en-US"/>
              </w:rPr>
              <w:t>cific output, which have or could affect the project implementation and propose a way forward</w:t>
            </w:r>
            <w:r w:rsidRPr="00374EC0">
              <w:rPr>
                <w:rFonts w:eastAsia="Times New Roman" w:cs="Helvetica"/>
                <w:i/>
                <w:color w:val="141413"/>
                <w:sz w:val="20"/>
                <w:szCs w:val="20"/>
                <w:lang w:val="en-US" w:bidi="en-US"/>
              </w:rPr>
              <w:t>]</w:t>
            </w:r>
          </w:p>
        </w:tc>
      </w:tr>
      <w:tr w:rsidR="001D31A1" w:rsidRPr="00A9499C" w:rsidTr="00184BD1">
        <w:trPr>
          <w:trHeight w:val="503"/>
        </w:trPr>
        <w:tc>
          <w:tcPr>
            <w:tcW w:w="10345" w:type="dxa"/>
            <w:gridSpan w:val="5"/>
            <w:tcBorders>
              <w:top w:val="single" w:sz="4" w:space="0" w:color="FFFFFF" w:themeColor="background1"/>
            </w:tcBorders>
            <w:shd w:val="clear" w:color="auto" w:fill="auto"/>
          </w:tcPr>
          <w:p w:rsidR="001D31A1" w:rsidRPr="00FC17D1" w:rsidRDefault="001D31A1" w:rsidP="001D31A1">
            <w:pPr>
              <w:suppressAutoHyphens/>
              <w:spacing w:after="0" w:line="240" w:lineRule="auto"/>
              <w:contextualSpacing/>
              <w:jc w:val="left"/>
              <w:rPr>
                <w:spacing w:val="-2"/>
                <w:kern w:val="16"/>
                <w:position w:val="-2"/>
                <w:sz w:val="2"/>
                <w:szCs w:val="20"/>
              </w:rPr>
            </w:pPr>
          </w:p>
          <w:p w:rsidR="001D31A1" w:rsidRPr="007C700F" w:rsidRDefault="001D31A1" w:rsidP="001D31A1">
            <w:pPr>
              <w:pStyle w:val="ListParagraph"/>
              <w:numPr>
                <w:ilvl w:val="0"/>
                <w:numId w:val="13"/>
              </w:numPr>
              <w:suppressAutoHyphens/>
              <w:spacing w:after="0" w:line="240" w:lineRule="auto"/>
              <w:ind w:left="340"/>
              <w:jc w:val="left"/>
              <w:rPr>
                <w:spacing w:val="-2"/>
                <w:kern w:val="16"/>
                <w:position w:val="-2"/>
                <w:sz w:val="20"/>
                <w:szCs w:val="20"/>
                <w:lang w:val="en-US"/>
              </w:rPr>
            </w:pPr>
            <w:r>
              <w:rPr>
                <w:spacing w:val="-2"/>
                <w:kern w:val="16"/>
                <w:position w:val="-2"/>
                <w:sz w:val="20"/>
                <w:szCs w:val="20"/>
                <w:lang w:val="en-US"/>
              </w:rPr>
              <w:t xml:space="preserve">Difficulties faced in stakeholder mobilization due to competing interests. </w:t>
            </w:r>
          </w:p>
        </w:tc>
      </w:tr>
      <w:tr w:rsidR="001D31A1" w:rsidRPr="00A9499C" w:rsidTr="00D33512">
        <w:trPr>
          <w:trHeight w:val="270"/>
        </w:trPr>
        <w:tc>
          <w:tcPr>
            <w:tcW w:w="10345" w:type="dxa"/>
            <w:gridSpan w:val="5"/>
            <w:tcBorders>
              <w:bottom w:val="single" w:sz="4" w:space="0" w:color="FFFFFF" w:themeColor="background1"/>
            </w:tcBorders>
            <w:shd w:val="clear" w:color="auto" w:fill="D9D9D9" w:themeFill="background1" w:themeFillShade="D9"/>
          </w:tcPr>
          <w:p w:rsidR="001D31A1" w:rsidRPr="001C63EB" w:rsidRDefault="001D31A1" w:rsidP="001D3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i/>
                <w:color w:val="141413"/>
                <w:sz w:val="20"/>
                <w:szCs w:val="20"/>
                <w:lang w:val="en-US" w:bidi="en-US"/>
              </w:rPr>
            </w:pPr>
            <w:r w:rsidRPr="00040826">
              <w:rPr>
                <w:rFonts w:eastAsia="Times New Roman" w:cs="Helvetica"/>
                <w:b/>
                <w:color w:val="003D80"/>
                <w:sz w:val="20"/>
                <w:szCs w:val="24"/>
                <w:lang w:val="en-US" w:bidi="en-US"/>
              </w:rPr>
              <w:t>LESSONS LEARNED AND OPPORTUNITIES</w:t>
            </w:r>
            <w:r>
              <w:rPr>
                <w:rFonts w:eastAsia="Times New Roman" w:cs="Helvetica"/>
                <w:color w:val="003D80"/>
                <w:sz w:val="20"/>
                <w:szCs w:val="24"/>
                <w:lang w:val="en-US" w:bidi="en-US"/>
              </w:rPr>
              <w:t xml:space="preserve">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describe new understanding or insights gained from project activities that can contribute to improving </w:t>
            </w:r>
            <w:r>
              <w:rPr>
                <w:rFonts w:eastAsia="Times New Roman" w:cs="Helvetica"/>
                <w:i/>
                <w:sz w:val="20"/>
                <w:szCs w:val="24"/>
                <w:lang w:val="en-US" w:bidi="en-US"/>
              </w:rPr>
              <w:t>project implementation and</w:t>
            </w:r>
            <w:r w:rsidRPr="00093047">
              <w:rPr>
                <w:rFonts w:eastAsia="Times New Roman" w:cs="Helvetica"/>
                <w:i/>
                <w:sz w:val="20"/>
                <w:szCs w:val="24"/>
                <w:lang w:val="en-US" w:bidi="en-US"/>
              </w:rPr>
              <w:t xml:space="preserve"> </w:t>
            </w:r>
            <w:r>
              <w:rPr>
                <w:rFonts w:eastAsia="Times New Roman" w:cs="Helvetica"/>
                <w:i/>
                <w:sz w:val="20"/>
                <w:szCs w:val="24"/>
                <w:lang w:val="en-US" w:bidi="en-US"/>
              </w:rPr>
              <w:t>future project design</w:t>
            </w:r>
            <w:r w:rsidRPr="00CC2D87">
              <w:rPr>
                <w:rFonts w:eastAsia="Times New Roman" w:cs="Helvetica"/>
                <w:i/>
                <w:color w:val="141413"/>
                <w:sz w:val="20"/>
                <w:szCs w:val="20"/>
                <w:lang w:val="en-US" w:bidi="en-US"/>
              </w:rPr>
              <w:t>]</w:t>
            </w:r>
          </w:p>
        </w:tc>
      </w:tr>
      <w:tr w:rsidR="001D31A1" w:rsidRPr="00A9499C" w:rsidTr="00D62B31">
        <w:trPr>
          <w:trHeight w:val="683"/>
        </w:trPr>
        <w:tc>
          <w:tcPr>
            <w:tcW w:w="10345" w:type="dxa"/>
            <w:gridSpan w:val="5"/>
            <w:tcBorders>
              <w:top w:val="single" w:sz="4" w:space="0" w:color="FFFFFF" w:themeColor="background1"/>
            </w:tcBorders>
            <w:shd w:val="clear" w:color="auto" w:fill="auto"/>
          </w:tcPr>
          <w:p w:rsidR="001D31A1" w:rsidRDefault="001D31A1" w:rsidP="001D31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rPr>
                <w:rFonts w:eastAsia="Times New Roman" w:cs="Times-Roman"/>
                <w:color w:val="141413"/>
                <w:sz w:val="20"/>
                <w:szCs w:val="20"/>
                <w:lang w:val="en-US" w:bidi="en-US"/>
              </w:rPr>
            </w:pPr>
            <w:r>
              <w:rPr>
                <w:rFonts w:eastAsia="Times New Roman" w:cs="Times-Roman"/>
                <w:color w:val="141413"/>
                <w:sz w:val="20"/>
                <w:szCs w:val="20"/>
                <w:lang w:val="en-US" w:bidi="en-US"/>
              </w:rPr>
              <w:t xml:space="preserve">There is a high number Ghanaian populace that are directly/indirectly exposed to mercury risks mainly through occupations and habitat. There is still the need for a lot of efforts to create this awareness among such persons to inform their decision on their occupation and places of habitat to reduce/eliminate mercury exposures to their health and environment. </w:t>
            </w:r>
          </w:p>
          <w:p w:rsidR="001D31A1" w:rsidRDefault="001D31A1" w:rsidP="001D31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rPr>
                <w:rFonts w:eastAsia="Times New Roman" w:cs="Times-Roman"/>
                <w:color w:val="141413"/>
                <w:sz w:val="20"/>
                <w:szCs w:val="20"/>
                <w:lang w:val="en-US" w:bidi="en-US"/>
              </w:rPr>
            </w:pPr>
          </w:p>
          <w:p w:rsidR="001D31A1" w:rsidRPr="006F026C" w:rsidRDefault="001D31A1" w:rsidP="001D31A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rPr>
                <w:rFonts w:eastAsia="Times New Roman" w:cs="Times-Roman"/>
                <w:color w:val="141413"/>
                <w:sz w:val="20"/>
                <w:szCs w:val="20"/>
                <w:lang w:val="en-US" w:bidi="en-US"/>
              </w:rPr>
            </w:pPr>
            <w:r>
              <w:rPr>
                <w:rFonts w:eastAsia="Times New Roman" w:cs="Times-Roman"/>
                <w:color w:val="141413"/>
                <w:sz w:val="20"/>
                <w:szCs w:val="20"/>
                <w:lang w:val="en-US" w:bidi="en-US"/>
              </w:rPr>
              <w:t>Using the national priority areas identified in the MIA report, there is an opportunity to mobilize resources to support national efforts to effectively mainstream the Minamata Convention in Ghana</w:t>
            </w:r>
          </w:p>
          <w:p w:rsidR="001D31A1" w:rsidRPr="001C63EB"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Helvetica"/>
                <w:color w:val="003D80"/>
                <w:sz w:val="20"/>
                <w:szCs w:val="24"/>
                <w:lang w:val="en-US" w:bidi="en-US"/>
              </w:rPr>
            </w:pPr>
          </w:p>
        </w:tc>
      </w:tr>
      <w:tr w:rsidR="001D31A1" w:rsidRPr="00A9499C" w:rsidTr="00D33512">
        <w:trPr>
          <w:trHeight w:val="495"/>
        </w:trPr>
        <w:tc>
          <w:tcPr>
            <w:tcW w:w="10345" w:type="dxa"/>
            <w:gridSpan w:val="5"/>
            <w:tcBorders>
              <w:bottom w:val="single" w:sz="4" w:space="0" w:color="FFFFFF" w:themeColor="background1"/>
            </w:tcBorders>
            <w:shd w:val="clear" w:color="auto" w:fill="D9D9D9" w:themeFill="background1" w:themeFillShade="D9"/>
          </w:tcPr>
          <w:p w:rsidR="001D31A1" w:rsidRPr="00CC2D87" w:rsidRDefault="001D31A1" w:rsidP="001D3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RECO</w:t>
            </w:r>
            <w:r>
              <w:rPr>
                <w:rFonts w:eastAsia="Times New Roman" w:cs="Helvetica"/>
                <w:b/>
                <w:color w:val="003D80"/>
                <w:sz w:val="20"/>
                <w:szCs w:val="24"/>
                <w:lang w:val="en-US" w:bidi="en-US"/>
              </w:rPr>
              <w:t xml:space="preserve">MMENDATIONS AND PROPOSED ACTION </w:t>
            </w:r>
            <w:r w:rsidRPr="00040826">
              <w:rPr>
                <w:rFonts w:eastAsia="Times New Roman" w:cs="Helvetica"/>
                <w:i/>
                <w:sz w:val="20"/>
                <w:szCs w:val="24"/>
                <w:lang w:val="en-US" w:bidi="en-US"/>
              </w:rPr>
              <w:t>[</w:t>
            </w:r>
            <w:r w:rsidRPr="00374EC0">
              <w:rPr>
                <w:rFonts w:eastAsia="Times New Roman" w:cs="Helvetica"/>
                <w:i/>
                <w:sz w:val="20"/>
                <w:szCs w:val="24"/>
                <w:lang w:val="en-US" w:bidi="en-US"/>
              </w:rPr>
              <w:t>Actions on any matter related to outcome,</w:t>
            </w:r>
            <w:r>
              <w:rPr>
                <w:rFonts w:eastAsia="Times New Roman" w:cs="Helvetica"/>
                <w:i/>
                <w:sz w:val="20"/>
                <w:szCs w:val="24"/>
                <w:lang w:val="en-US" w:bidi="en-US"/>
              </w:rPr>
              <w:t xml:space="preserve"> progress of outputs</w:t>
            </w:r>
            <w:r w:rsidRPr="00374EC0">
              <w:rPr>
                <w:rFonts w:eastAsia="Times New Roman" w:cs="Helvetica"/>
                <w:i/>
                <w:sz w:val="20"/>
                <w:szCs w:val="24"/>
                <w:lang w:val="en-US" w:bidi="en-US"/>
              </w:rPr>
              <w:t xml:space="preserve"> </w:t>
            </w:r>
            <w:r>
              <w:rPr>
                <w:rFonts w:eastAsia="Times New Roman" w:cs="Helvetica"/>
                <w:i/>
                <w:sz w:val="20"/>
                <w:szCs w:val="24"/>
                <w:lang w:val="en-US" w:bidi="en-US"/>
              </w:rPr>
              <w:t xml:space="preserve">and corrective measure taken or to be taken with responsibilities time </w:t>
            </w:r>
            <w:r w:rsidRPr="00374EC0">
              <w:rPr>
                <w:rFonts w:eastAsia="Times New Roman" w:cs="Helvetica"/>
                <w:i/>
                <w:sz w:val="20"/>
                <w:szCs w:val="24"/>
                <w:lang w:val="en-US" w:bidi="en-US"/>
              </w:rPr>
              <w:t>time]</w:t>
            </w:r>
            <w:r>
              <w:rPr>
                <w:rFonts w:eastAsia="Times New Roman" w:cs="Helvetica"/>
                <w:i/>
                <w:sz w:val="20"/>
                <w:szCs w:val="24"/>
                <w:lang w:val="en-US" w:bidi="en-US"/>
              </w:rPr>
              <w:t xml:space="preserve"> </w:t>
            </w:r>
          </w:p>
        </w:tc>
      </w:tr>
      <w:tr w:rsidR="001D31A1" w:rsidRPr="00A9499C" w:rsidTr="00231FB8">
        <w:trPr>
          <w:trHeight w:val="656"/>
        </w:trPr>
        <w:tc>
          <w:tcPr>
            <w:tcW w:w="10345" w:type="dxa"/>
            <w:gridSpan w:val="5"/>
            <w:tcBorders>
              <w:top w:val="single" w:sz="4" w:space="0" w:color="FFFFFF" w:themeColor="background1"/>
            </w:tcBorders>
            <w:shd w:val="clear" w:color="auto" w:fill="auto"/>
          </w:tcPr>
          <w:p w:rsidR="001D31A1" w:rsidRPr="00F63C4D" w:rsidRDefault="001D31A1" w:rsidP="001D31A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rPr>
                <w:rFonts w:eastAsia="Times New Roman" w:cs="Helvetica"/>
                <w:color w:val="000000" w:themeColor="text1"/>
                <w:sz w:val="20"/>
                <w:szCs w:val="24"/>
                <w:lang w:val="en-US" w:bidi="en-US"/>
              </w:rPr>
            </w:pPr>
            <w:r w:rsidRPr="00F63C4D">
              <w:rPr>
                <w:rFonts w:eastAsia="Times New Roman" w:cs="Helvetica"/>
                <w:color w:val="000000" w:themeColor="text1"/>
                <w:sz w:val="20"/>
                <w:szCs w:val="24"/>
                <w:lang w:val="en-US" w:bidi="en-US"/>
              </w:rPr>
              <w:t xml:space="preserve">Partner with EPA and other key stakeholders to mainstream the recommendations of the MIA report to strengthen the management of mercury in Ghana. </w:t>
            </w:r>
          </w:p>
          <w:p w:rsidR="001D31A1" w:rsidRPr="00CC2D87" w:rsidRDefault="001D31A1" w:rsidP="001D3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3D80"/>
                <w:sz w:val="20"/>
                <w:szCs w:val="24"/>
                <w:lang w:val="en-US" w:bidi="en-US"/>
              </w:rPr>
            </w:pPr>
          </w:p>
        </w:tc>
      </w:tr>
      <w:tr w:rsidR="001D31A1" w:rsidRPr="00A9499C" w:rsidTr="00D33512">
        <w:trPr>
          <w:trHeight w:val="525"/>
        </w:trPr>
        <w:tc>
          <w:tcPr>
            <w:tcW w:w="10345" w:type="dxa"/>
            <w:gridSpan w:val="5"/>
            <w:tcBorders>
              <w:top w:val="single" w:sz="4" w:space="0" w:color="FFFFFF" w:themeColor="background1"/>
              <w:bottom w:val="single" w:sz="4" w:space="0" w:color="FFFFFF" w:themeColor="background1"/>
            </w:tcBorders>
            <w:shd w:val="clear" w:color="auto" w:fill="D9D9D9" w:themeFill="background1" w:themeFillShade="D9"/>
          </w:tcPr>
          <w:p w:rsidR="001D31A1" w:rsidRPr="00CC2D87" w:rsidRDefault="001D31A1" w:rsidP="001D31A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Pr>
                <w:rFonts w:eastAsia="Times New Roman" w:cs="Helvetica"/>
                <w:b/>
                <w:color w:val="003D80"/>
                <w:sz w:val="20"/>
                <w:szCs w:val="24"/>
                <w:lang w:val="en-US" w:bidi="en-US"/>
              </w:rPr>
              <w:t xml:space="preserve">KEY ACTIVITIES FOR 2019 </w:t>
            </w:r>
            <w:r w:rsidRPr="00CC2D87">
              <w:rPr>
                <w:rFonts w:eastAsia="Times New Roman" w:cs="Helvetica"/>
                <w:i/>
                <w:color w:val="141413"/>
                <w:sz w:val="20"/>
                <w:szCs w:val="20"/>
                <w:lang w:val="en-US" w:bidi="en-US"/>
              </w:rPr>
              <w:t>[</w:t>
            </w:r>
            <w:r>
              <w:rPr>
                <w:rFonts w:eastAsia="Times New Roman" w:cs="Helvetica"/>
                <w:i/>
                <w:sz w:val="20"/>
                <w:szCs w:val="24"/>
                <w:lang w:val="en-US" w:bidi="en-US"/>
              </w:rPr>
              <w:t>Please outline key activities planned for 2019</w:t>
            </w:r>
            <w:r w:rsidRPr="00CC2D87">
              <w:rPr>
                <w:rFonts w:eastAsia="Times New Roman" w:cs="Helvetica"/>
                <w:i/>
                <w:color w:val="141413"/>
                <w:sz w:val="20"/>
                <w:szCs w:val="20"/>
                <w:lang w:val="en-US" w:bidi="en-US"/>
              </w:rPr>
              <w:t>]</w:t>
            </w:r>
          </w:p>
        </w:tc>
      </w:tr>
      <w:tr w:rsidR="001D31A1" w:rsidRPr="00A9499C" w:rsidTr="00D33512">
        <w:trPr>
          <w:trHeight w:val="990"/>
        </w:trPr>
        <w:tc>
          <w:tcPr>
            <w:tcW w:w="10345" w:type="dxa"/>
            <w:gridSpan w:val="5"/>
            <w:tcBorders>
              <w:top w:val="single" w:sz="4" w:space="0" w:color="FFFFFF" w:themeColor="background1"/>
            </w:tcBorders>
            <w:shd w:val="clear" w:color="auto" w:fill="auto"/>
          </w:tcPr>
          <w:p w:rsidR="001D31A1" w:rsidRPr="005F29CB" w:rsidRDefault="001D31A1" w:rsidP="001D31A1">
            <w:pPr>
              <w:spacing w:after="120" w:line="240" w:lineRule="auto"/>
              <w:rPr>
                <w:rFonts w:eastAsia="Times New Roman" w:cs="Times-Roman"/>
                <w:color w:val="141413"/>
                <w:sz w:val="20"/>
                <w:szCs w:val="20"/>
                <w:lang w:val="en-US" w:bidi="en-US"/>
              </w:rPr>
            </w:pPr>
            <w:r w:rsidRPr="005F29CB">
              <w:rPr>
                <w:rFonts w:eastAsia="Times New Roman" w:cs="Times-Roman"/>
                <w:color w:val="141413"/>
                <w:sz w:val="20"/>
                <w:szCs w:val="20"/>
                <w:lang w:val="en-US" w:bidi="en-US"/>
              </w:rPr>
              <w:t xml:space="preserve"> </w:t>
            </w:r>
            <w:r>
              <w:rPr>
                <w:rFonts w:eastAsia="Times New Roman" w:cs="Times-Roman"/>
                <w:color w:val="141413"/>
                <w:sz w:val="20"/>
                <w:szCs w:val="20"/>
                <w:lang w:val="en-US" w:bidi="en-US"/>
              </w:rPr>
              <w:t xml:space="preserve">N/A (Project ends in 2018) </w:t>
            </w:r>
          </w:p>
        </w:tc>
      </w:tr>
    </w:tbl>
    <w:p w:rsidR="001B2630" w:rsidRDefault="001D31A1"/>
    <w:sectPr w:rsidR="001B2630" w:rsidSect="00296A2B">
      <w:pgSz w:w="12240" w:h="15840"/>
      <w:pgMar w:top="90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8C7"/>
    <w:multiLevelType w:val="hybridMultilevel"/>
    <w:tmpl w:val="3A4829CA"/>
    <w:lvl w:ilvl="0" w:tplc="5D96B5F6">
      <w:start w:val="1"/>
      <w:numFmt w:val="decimal"/>
      <w:lvlText w:val="%1."/>
      <w:lvlJc w:val="left"/>
      <w:pPr>
        <w:ind w:left="360" w:hanging="360"/>
      </w:pPr>
      <w:rPr>
        <w:rFonts w:hint="default"/>
        <w:b/>
        <w:color w:val="14141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50EEA"/>
    <w:multiLevelType w:val="hybridMultilevel"/>
    <w:tmpl w:val="F9A839A4"/>
    <w:lvl w:ilvl="0" w:tplc="0A22074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91365"/>
    <w:multiLevelType w:val="hybridMultilevel"/>
    <w:tmpl w:val="9818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163D4"/>
    <w:multiLevelType w:val="hybridMultilevel"/>
    <w:tmpl w:val="298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5196"/>
    <w:multiLevelType w:val="hybridMultilevel"/>
    <w:tmpl w:val="669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15F4A"/>
    <w:multiLevelType w:val="hybridMultilevel"/>
    <w:tmpl w:val="592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3CD"/>
    <w:multiLevelType w:val="hybridMultilevel"/>
    <w:tmpl w:val="B3E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843D3"/>
    <w:multiLevelType w:val="hybridMultilevel"/>
    <w:tmpl w:val="61A431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E53C42"/>
    <w:multiLevelType w:val="hybridMultilevel"/>
    <w:tmpl w:val="29983060"/>
    <w:lvl w:ilvl="0" w:tplc="41D29B2A">
      <w:start w:val="1"/>
      <w:numFmt w:val="decimal"/>
      <w:lvlText w:val="%1."/>
      <w:lvlJc w:val="left"/>
      <w:pPr>
        <w:ind w:left="720" w:hanging="360"/>
      </w:pPr>
      <w:rPr>
        <w:b/>
        <w:i w:val="0"/>
        <w:color w:val="003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EC9"/>
    <w:multiLevelType w:val="hybridMultilevel"/>
    <w:tmpl w:val="4CF84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A422CF"/>
    <w:multiLevelType w:val="hybridMultilevel"/>
    <w:tmpl w:val="1DCE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71D0B"/>
    <w:multiLevelType w:val="hybridMultilevel"/>
    <w:tmpl w:val="E050E0D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2" w15:restartNumberingAfterBreak="0">
    <w:nsid w:val="60E745F0"/>
    <w:multiLevelType w:val="hybridMultilevel"/>
    <w:tmpl w:val="B93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6"/>
  </w:num>
  <w:num w:numId="7">
    <w:abstractNumId w:val="1"/>
  </w:num>
  <w:num w:numId="8">
    <w:abstractNumId w:val="0"/>
  </w:num>
  <w:num w:numId="9">
    <w:abstractNumId w:val="12"/>
  </w:num>
  <w:num w:numId="10">
    <w:abstractNumId w:val="7"/>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C7"/>
    <w:rsid w:val="00002DEF"/>
    <w:rsid w:val="00004256"/>
    <w:rsid w:val="00017319"/>
    <w:rsid w:val="00035285"/>
    <w:rsid w:val="00040826"/>
    <w:rsid w:val="000449C9"/>
    <w:rsid w:val="00093047"/>
    <w:rsid w:val="000A3E61"/>
    <w:rsid w:val="000B35C5"/>
    <w:rsid w:val="000D1FD0"/>
    <w:rsid w:val="000D2D07"/>
    <w:rsid w:val="001007B7"/>
    <w:rsid w:val="00184BD1"/>
    <w:rsid w:val="00186BD7"/>
    <w:rsid w:val="001878C8"/>
    <w:rsid w:val="001B3A01"/>
    <w:rsid w:val="001D31A1"/>
    <w:rsid w:val="001D3B8F"/>
    <w:rsid w:val="001E4D0C"/>
    <w:rsid w:val="002069A4"/>
    <w:rsid w:val="00231FB8"/>
    <w:rsid w:val="0024278C"/>
    <w:rsid w:val="0026095B"/>
    <w:rsid w:val="002728AE"/>
    <w:rsid w:val="00296A2B"/>
    <w:rsid w:val="002A299C"/>
    <w:rsid w:val="00311861"/>
    <w:rsid w:val="003468DE"/>
    <w:rsid w:val="003657C1"/>
    <w:rsid w:val="00370288"/>
    <w:rsid w:val="00374EC0"/>
    <w:rsid w:val="003778AA"/>
    <w:rsid w:val="003B731E"/>
    <w:rsid w:val="003E2EE5"/>
    <w:rsid w:val="003E496C"/>
    <w:rsid w:val="003F4478"/>
    <w:rsid w:val="00403943"/>
    <w:rsid w:val="00430E69"/>
    <w:rsid w:val="004541DB"/>
    <w:rsid w:val="00461328"/>
    <w:rsid w:val="0048414E"/>
    <w:rsid w:val="004859D4"/>
    <w:rsid w:val="00487C50"/>
    <w:rsid w:val="00494DB6"/>
    <w:rsid w:val="004A3F00"/>
    <w:rsid w:val="004C39F1"/>
    <w:rsid w:val="004D44FB"/>
    <w:rsid w:val="004D6665"/>
    <w:rsid w:val="004E32DF"/>
    <w:rsid w:val="004F3EE2"/>
    <w:rsid w:val="00517A9E"/>
    <w:rsid w:val="00574ADA"/>
    <w:rsid w:val="0059503C"/>
    <w:rsid w:val="005E13E8"/>
    <w:rsid w:val="005E3EC7"/>
    <w:rsid w:val="005F29CB"/>
    <w:rsid w:val="00601E64"/>
    <w:rsid w:val="0060502E"/>
    <w:rsid w:val="006950EB"/>
    <w:rsid w:val="006D258C"/>
    <w:rsid w:val="006F026C"/>
    <w:rsid w:val="006F3D33"/>
    <w:rsid w:val="007029DB"/>
    <w:rsid w:val="00716540"/>
    <w:rsid w:val="00736A0C"/>
    <w:rsid w:val="00754E2A"/>
    <w:rsid w:val="00764287"/>
    <w:rsid w:val="00764BE0"/>
    <w:rsid w:val="007B425A"/>
    <w:rsid w:val="007C700F"/>
    <w:rsid w:val="007E29E0"/>
    <w:rsid w:val="007F683F"/>
    <w:rsid w:val="007F77F1"/>
    <w:rsid w:val="00802FE0"/>
    <w:rsid w:val="0084045C"/>
    <w:rsid w:val="00842AC7"/>
    <w:rsid w:val="008B07BF"/>
    <w:rsid w:val="008C5E15"/>
    <w:rsid w:val="008D2843"/>
    <w:rsid w:val="00902812"/>
    <w:rsid w:val="0091522A"/>
    <w:rsid w:val="0094359E"/>
    <w:rsid w:val="00952395"/>
    <w:rsid w:val="009751FB"/>
    <w:rsid w:val="0097678A"/>
    <w:rsid w:val="00980B9B"/>
    <w:rsid w:val="009A1F93"/>
    <w:rsid w:val="009A7285"/>
    <w:rsid w:val="009C5CB0"/>
    <w:rsid w:val="009D315C"/>
    <w:rsid w:val="009E0D78"/>
    <w:rsid w:val="009F538A"/>
    <w:rsid w:val="00A5253B"/>
    <w:rsid w:val="00A610E2"/>
    <w:rsid w:val="00A63F14"/>
    <w:rsid w:val="00A67DF0"/>
    <w:rsid w:val="00A82A25"/>
    <w:rsid w:val="00A91D56"/>
    <w:rsid w:val="00A924B8"/>
    <w:rsid w:val="00AC40BC"/>
    <w:rsid w:val="00AD060B"/>
    <w:rsid w:val="00AE246E"/>
    <w:rsid w:val="00AE4421"/>
    <w:rsid w:val="00B2195C"/>
    <w:rsid w:val="00B45BCC"/>
    <w:rsid w:val="00B47BA2"/>
    <w:rsid w:val="00BD2B3E"/>
    <w:rsid w:val="00BD5389"/>
    <w:rsid w:val="00BE01BC"/>
    <w:rsid w:val="00C00F50"/>
    <w:rsid w:val="00C06472"/>
    <w:rsid w:val="00C536DB"/>
    <w:rsid w:val="00C867C5"/>
    <w:rsid w:val="00CB5C14"/>
    <w:rsid w:val="00CC2D87"/>
    <w:rsid w:val="00CC76A1"/>
    <w:rsid w:val="00CE267A"/>
    <w:rsid w:val="00CE5CC8"/>
    <w:rsid w:val="00CE6FC6"/>
    <w:rsid w:val="00CF299F"/>
    <w:rsid w:val="00CF4760"/>
    <w:rsid w:val="00D05A5B"/>
    <w:rsid w:val="00D05E2F"/>
    <w:rsid w:val="00D23F2E"/>
    <w:rsid w:val="00D25309"/>
    <w:rsid w:val="00D255FE"/>
    <w:rsid w:val="00D33512"/>
    <w:rsid w:val="00D45458"/>
    <w:rsid w:val="00D563A6"/>
    <w:rsid w:val="00D607B2"/>
    <w:rsid w:val="00D62B31"/>
    <w:rsid w:val="00D705E4"/>
    <w:rsid w:val="00D74011"/>
    <w:rsid w:val="00D76830"/>
    <w:rsid w:val="00D7697F"/>
    <w:rsid w:val="00DA638E"/>
    <w:rsid w:val="00E12843"/>
    <w:rsid w:val="00E371F4"/>
    <w:rsid w:val="00E5227F"/>
    <w:rsid w:val="00EA7B72"/>
    <w:rsid w:val="00EC32BB"/>
    <w:rsid w:val="00F428E0"/>
    <w:rsid w:val="00F63C4D"/>
    <w:rsid w:val="00FC17D1"/>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B66A"/>
  <w15:docId w15:val="{ED68F738-F692-4680-9ED7-195D7B6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C7"/>
    <w:pPr>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9E"/>
    <w:pPr>
      <w:ind w:left="720"/>
      <w:contextualSpacing/>
    </w:pPr>
  </w:style>
  <w:style w:type="character" w:styleId="CommentReference">
    <w:name w:val="annotation reference"/>
    <w:basedOn w:val="DefaultParagraphFont"/>
    <w:uiPriority w:val="99"/>
    <w:semiHidden/>
    <w:unhideWhenUsed/>
    <w:rsid w:val="00D05A5B"/>
    <w:rPr>
      <w:sz w:val="16"/>
      <w:szCs w:val="16"/>
    </w:rPr>
  </w:style>
  <w:style w:type="paragraph" w:styleId="CommentText">
    <w:name w:val="annotation text"/>
    <w:basedOn w:val="Normal"/>
    <w:link w:val="CommentTextChar"/>
    <w:uiPriority w:val="99"/>
    <w:semiHidden/>
    <w:unhideWhenUsed/>
    <w:rsid w:val="00D05A5B"/>
    <w:pPr>
      <w:spacing w:line="240" w:lineRule="auto"/>
    </w:pPr>
    <w:rPr>
      <w:sz w:val="20"/>
      <w:szCs w:val="20"/>
    </w:rPr>
  </w:style>
  <w:style w:type="character" w:customStyle="1" w:styleId="CommentTextChar">
    <w:name w:val="Comment Text Char"/>
    <w:basedOn w:val="DefaultParagraphFont"/>
    <w:link w:val="CommentText"/>
    <w:uiPriority w:val="99"/>
    <w:semiHidden/>
    <w:rsid w:val="00D05A5B"/>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05A5B"/>
    <w:rPr>
      <w:b/>
      <w:bCs/>
    </w:rPr>
  </w:style>
  <w:style w:type="character" w:customStyle="1" w:styleId="CommentSubjectChar">
    <w:name w:val="Comment Subject Char"/>
    <w:basedOn w:val="CommentTextChar"/>
    <w:link w:val="CommentSubject"/>
    <w:uiPriority w:val="99"/>
    <w:semiHidden/>
    <w:rsid w:val="00D05A5B"/>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D05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5B"/>
    <w:rPr>
      <w:rFonts w:ascii="Segoe UI" w:eastAsia="Calibri" w:hAnsi="Segoe UI" w:cs="Segoe UI"/>
      <w:sz w:val="18"/>
      <w:szCs w:val="18"/>
      <w:lang w:val="en-CA"/>
    </w:rPr>
  </w:style>
  <w:style w:type="character" w:styleId="Hyperlink">
    <w:name w:val="Hyperlink"/>
    <w:basedOn w:val="DefaultParagraphFont"/>
    <w:uiPriority w:val="99"/>
    <w:unhideWhenUsed/>
    <w:rsid w:val="00035285"/>
    <w:rPr>
      <w:color w:val="0000FF" w:themeColor="hyperlink"/>
      <w:u w:val="single"/>
    </w:rPr>
  </w:style>
  <w:style w:type="character" w:styleId="UnresolvedMention">
    <w:name w:val="Unresolved Mention"/>
    <w:basedOn w:val="DefaultParagraphFont"/>
    <w:uiPriority w:val="99"/>
    <w:semiHidden/>
    <w:unhideWhenUsed/>
    <w:rsid w:val="00035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Ew2wt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it.ly/2rKCET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R6Kjd0" TargetMode="External"/><Relationship Id="rId11" Type="http://schemas.openxmlformats.org/officeDocument/2006/relationships/customXml" Target="../customXml/item1.xml"/><Relationship Id="rId5" Type="http://schemas.openxmlformats.org/officeDocument/2006/relationships/hyperlink" Target="https://bit.ly/2Ew2wtU%20;%20https://bit.ly/2rM56Ez"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2018-12-28T15:00:00+00:00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00095383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ATLASPDC-4-93396</_dlc_DocId>
    <_dlc_DocIdUrl xmlns="f1161f5b-24a3-4c2d-bc81-44cb9325e8ee">
      <Url>https://info.undp.org/docs/pdc/_layouts/DocIdRedir.aspx?ID=ATLASPDC-4-93396</Url>
      <Description>ATLASPDC-4-93396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07138DC-FF79-4DED-93A4-ECCC640278C9}"/>
</file>

<file path=customXml/itemProps2.xml><?xml version="1.0" encoding="utf-8"?>
<ds:datastoreItem xmlns:ds="http://schemas.openxmlformats.org/officeDocument/2006/customXml" ds:itemID="{C6B79086-9948-4B4D-9AE3-031D59C6C3EA}"/>
</file>

<file path=customXml/itemProps3.xml><?xml version="1.0" encoding="utf-8"?>
<ds:datastoreItem xmlns:ds="http://schemas.openxmlformats.org/officeDocument/2006/customXml" ds:itemID="{36F42648-6BDF-4E3F-A902-EA56FA32CBAA}"/>
</file>

<file path=customXml/itemProps4.xml><?xml version="1.0" encoding="utf-8"?>
<ds:datastoreItem xmlns:ds="http://schemas.openxmlformats.org/officeDocument/2006/customXml" ds:itemID="{182CBF6A-0436-4B88-8384-0D5B43E52974}"/>
</file>

<file path=customXml/itemProps5.xml><?xml version="1.0" encoding="utf-8"?>
<ds:datastoreItem xmlns:ds="http://schemas.openxmlformats.org/officeDocument/2006/customXml" ds:itemID="{3F431DD2-E89B-4934-9336-44391E99902B}"/>
</file>

<file path=docProps/app.xml><?xml version="1.0" encoding="utf-8"?>
<Properties xmlns="http://schemas.openxmlformats.org/officeDocument/2006/extended-properties" xmlns:vt="http://schemas.openxmlformats.org/officeDocument/2006/docPropsVTypes">
  <Template>Normal</Template>
  <TotalTime>342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2018 Annual Report</dc:title>
  <dc:subject/>
  <dc:creator>EPA</dc:creator>
  <cp:lastModifiedBy>Joel Darkwa</cp:lastModifiedBy>
  <cp:revision>22</cp:revision>
  <cp:lastPrinted>2014-09-30T08:32:00Z</cp:lastPrinted>
  <dcterms:created xsi:type="dcterms:W3CDTF">2017-11-29T08:29:00Z</dcterms:created>
  <dcterms:modified xsi:type="dcterms:W3CDTF">2018-12-24T10:55:00Z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b7825ca1-7453-4e8e-a646-9cbc2ae45982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